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80" w:rsidRPr="00FE2E80" w:rsidRDefault="00FE2E80" w:rsidP="00532C8F">
      <w:pPr>
        <w:spacing w:after="0" w:line="240" w:lineRule="auto"/>
        <w:jc w:val="both"/>
        <w:rPr>
          <w:rFonts w:ascii="Helvetica" w:eastAsia="Times New Roman" w:hAnsi="Helvetica" w:cs="Helvetica"/>
          <w:color w:val="635C47"/>
          <w:sz w:val="28"/>
          <w:szCs w:val="28"/>
          <w:lang w:eastAsia="bg-BG"/>
        </w:rPr>
      </w:pPr>
    </w:p>
    <w:p w:rsidR="00A7761C" w:rsidRPr="00A7761C" w:rsidRDefault="00FE2E80" w:rsidP="00A7761C">
      <w:pPr>
        <w:widowControl w:val="0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</w:pPr>
      <w:r w:rsidRPr="00FE2E80">
        <w:rPr>
          <w:rFonts w:ascii="Times New Roman" w:eastAsia="Times New Roman" w:hAnsi="Times New Roman" w:cs="Times New Roman"/>
          <w:color w:val="635C47"/>
          <w:sz w:val="28"/>
          <w:szCs w:val="28"/>
          <w:bdr w:val="none" w:sz="0" w:space="0" w:color="auto" w:frame="1"/>
          <w:lang w:val="ru-RU" w:eastAsia="bg-BG"/>
        </w:rPr>
        <w:t> </w:t>
      </w:r>
      <w:r w:rsidR="00A7761C" w:rsidRPr="00A7761C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Основно училище „ Христо Ботев“  с. Силен,  общ. Стамболово</w:t>
      </w:r>
    </w:p>
    <w:p w:rsidR="00A7761C" w:rsidRPr="00A7761C" w:rsidRDefault="00A7761C" w:rsidP="00A7761C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</w:pPr>
      <w:r w:rsidRPr="00A7761C">
        <w:rPr>
          <w:rFonts w:asciiTheme="majorHAnsi" w:eastAsia="SimSun" w:hAnsiTheme="majorHAnsi" w:cs="Times New Roman"/>
          <w:b/>
          <w:kern w:val="2"/>
          <w:sz w:val="26"/>
          <w:szCs w:val="26"/>
          <w:lang w:eastAsia="zh-CN"/>
        </w:rPr>
        <w:t>Тел.: 0879635768; e-mail: hr_botev_silen@abv.bg</w:t>
      </w:r>
    </w:p>
    <w:p w:rsidR="00A7761C" w:rsidRPr="00A7761C" w:rsidRDefault="00A7761C" w:rsidP="00A7761C">
      <w:pPr>
        <w:widowControl w:val="0"/>
        <w:spacing w:after="0" w:line="240" w:lineRule="auto"/>
        <w:jc w:val="center"/>
        <w:rPr>
          <w:rFonts w:asciiTheme="majorHAnsi" w:eastAsia="SimSun" w:hAnsiTheme="majorHAnsi" w:cs="Times New Roman"/>
          <w:kern w:val="2"/>
          <w:sz w:val="24"/>
          <w:szCs w:val="24"/>
          <w:lang w:val="en-US" w:eastAsia="zh-CN"/>
        </w:rPr>
      </w:pPr>
    </w:p>
    <w:p w:rsidR="00A7761C" w:rsidRPr="00A7761C" w:rsidRDefault="00A7761C" w:rsidP="00A7761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bg-BG"/>
        </w:rPr>
      </w:pPr>
    </w:p>
    <w:p w:rsidR="00A7761C" w:rsidRPr="00A7761C" w:rsidRDefault="00A7761C" w:rsidP="00A7761C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A7761C" w:rsidRPr="00A7761C" w:rsidRDefault="00A7761C" w:rsidP="00A7761C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A7761C" w:rsidRPr="00A7761C" w:rsidRDefault="00A7761C" w:rsidP="00A7761C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val="ru-RU" w:eastAsia="bg-BG"/>
        </w:rPr>
      </w:pPr>
    </w:p>
    <w:p w:rsidR="00A7761C" w:rsidRPr="00A7761C" w:rsidRDefault="00A7761C" w:rsidP="00A7761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</w:pPr>
      <w:r w:rsidRPr="00A7761C">
        <w:rPr>
          <w:rFonts w:asciiTheme="majorHAnsi" w:eastAsia="Times New Roman" w:hAnsiTheme="majorHAnsi" w:cs="Times New Roman"/>
          <w:b/>
          <w:sz w:val="24"/>
          <w:szCs w:val="24"/>
          <w:lang w:val="en-US" w:eastAsia="bg-BG"/>
        </w:rPr>
        <w:t>УТВЪРЖДАВАМ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US" w:eastAsia="bg-BG"/>
        </w:rPr>
        <w:t>: ………………………</w:t>
      </w:r>
    </w:p>
    <w:p w:rsidR="00A7761C" w:rsidRPr="003916D0" w:rsidRDefault="00A7761C" w:rsidP="003916D0">
      <w:pPr>
        <w:spacing w:after="0" w:line="240" w:lineRule="auto"/>
        <w:rPr>
          <w:rFonts w:asciiTheme="majorHAnsi" w:eastAsia="Times New Roman" w:hAnsiTheme="majorHAnsi" w:cs="Times New Roman"/>
          <w:noProof/>
          <w:sz w:val="24"/>
          <w:szCs w:val="24"/>
          <w:lang w:eastAsia="bg-BG"/>
        </w:rPr>
      </w:pPr>
      <w:r w:rsidRPr="00A7761C">
        <w:rPr>
          <w:rFonts w:asciiTheme="majorHAnsi" w:eastAsia="Times New Roman" w:hAnsiTheme="majorHAnsi" w:cs="Times New Roman"/>
          <w:sz w:val="28"/>
          <w:szCs w:val="28"/>
          <w:lang w:eastAsia="bg-BG"/>
        </w:rPr>
        <w:t>Ю.Мустафа</w:t>
      </w:r>
    </w:p>
    <w:p w:rsidR="00A7761C" w:rsidRPr="00A7761C" w:rsidRDefault="00A7761C" w:rsidP="00A7761C">
      <w:pPr>
        <w:tabs>
          <w:tab w:val="left" w:pos="2313"/>
        </w:tabs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aps/>
          <w:sz w:val="56"/>
          <w:szCs w:val="56"/>
        </w:rPr>
      </w:pPr>
      <w:r w:rsidRPr="00A7761C">
        <w:rPr>
          <w:rFonts w:asciiTheme="majorHAnsi" w:eastAsia="Times New Roman" w:hAnsiTheme="majorHAnsi" w:cs="Times New Roman"/>
          <w:b/>
          <w:caps/>
          <w:sz w:val="56"/>
          <w:szCs w:val="56"/>
        </w:rPr>
        <w:t>СТРАТЕГИЯ</w:t>
      </w:r>
    </w:p>
    <w:p w:rsidR="00A7761C" w:rsidRPr="00A7761C" w:rsidRDefault="00A7761C" w:rsidP="00A7761C">
      <w:pPr>
        <w:tabs>
          <w:tab w:val="left" w:pos="2313"/>
        </w:tabs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aps/>
          <w:sz w:val="40"/>
          <w:szCs w:val="40"/>
          <w:lang w:val="en-US"/>
        </w:rPr>
      </w:pPr>
      <w:r w:rsidRPr="00A7761C">
        <w:rPr>
          <w:rFonts w:asciiTheme="majorHAnsi" w:eastAsia="Times New Roman" w:hAnsiTheme="majorHAnsi" w:cs="Times New Roman"/>
          <w:b/>
          <w:caps/>
          <w:sz w:val="40"/>
          <w:szCs w:val="40"/>
        </w:rPr>
        <w:t>ЗА РАЗВИТИЕ НА</w:t>
      </w:r>
      <w:r w:rsidRPr="00A7761C">
        <w:rPr>
          <w:rFonts w:asciiTheme="majorHAnsi" w:eastAsia="Times New Roman" w:hAnsiTheme="majorHAnsi" w:cs="Times New Roman"/>
          <w:b/>
          <w:caps/>
          <w:sz w:val="40"/>
          <w:szCs w:val="40"/>
          <w:lang w:val="en-US"/>
        </w:rPr>
        <w:t xml:space="preserve"> </w:t>
      </w:r>
    </w:p>
    <w:p w:rsidR="00A7761C" w:rsidRPr="00A7761C" w:rsidRDefault="00A7761C" w:rsidP="00A7761C">
      <w:pPr>
        <w:tabs>
          <w:tab w:val="left" w:pos="2313"/>
        </w:tabs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aps/>
          <w:sz w:val="40"/>
          <w:szCs w:val="40"/>
        </w:rPr>
      </w:pPr>
      <w:r w:rsidRPr="00A7761C">
        <w:rPr>
          <w:rFonts w:asciiTheme="majorHAnsi" w:eastAsia="Times New Roman" w:hAnsiTheme="majorHAnsi" w:cs="Times New Roman"/>
          <w:b/>
          <w:caps/>
          <w:sz w:val="40"/>
          <w:szCs w:val="40"/>
        </w:rPr>
        <w:t>ОУ „ХРИСТО БОТЕВ“с.СИЛЕН</w:t>
      </w:r>
    </w:p>
    <w:p w:rsidR="00A7761C" w:rsidRPr="00A7761C" w:rsidRDefault="00A7761C" w:rsidP="00A7761C">
      <w:pPr>
        <w:tabs>
          <w:tab w:val="left" w:pos="2313"/>
        </w:tabs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aps/>
          <w:sz w:val="24"/>
          <w:szCs w:val="24"/>
        </w:rPr>
      </w:pPr>
    </w:p>
    <w:p w:rsidR="00A7761C" w:rsidRPr="00A7761C" w:rsidRDefault="00A7761C" w:rsidP="00A7761C">
      <w:pPr>
        <w:tabs>
          <w:tab w:val="left" w:pos="2313"/>
        </w:tabs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aps/>
          <w:sz w:val="24"/>
          <w:szCs w:val="24"/>
          <w:lang w:val="en-US"/>
        </w:rPr>
      </w:pPr>
      <w:r w:rsidRPr="00A7761C">
        <w:rPr>
          <w:rFonts w:asciiTheme="majorHAnsi" w:eastAsia="Times New Roman" w:hAnsiTheme="majorHAnsi" w:cs="Times New Roman"/>
          <w:b/>
          <w:caps/>
          <w:sz w:val="24"/>
          <w:szCs w:val="24"/>
        </w:rPr>
        <w:t>2020 - 2024</w:t>
      </w: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32C8F" w:rsidRDefault="00532C8F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916D0" w:rsidRDefault="003916D0" w:rsidP="003916D0">
      <w:pPr>
        <w:spacing w:before="100" w:beforeAutospacing="1"/>
        <w:jc w:val="both"/>
        <w:rPr>
          <w:rFonts w:asciiTheme="majorHAnsi" w:eastAsia="Calibri" w:hAnsiTheme="majorHAnsi"/>
          <w:lang w:eastAsia="bg-BG"/>
        </w:rPr>
      </w:pPr>
      <w:r w:rsidRPr="005B3626">
        <w:rPr>
          <w:rFonts w:asciiTheme="majorHAnsi" w:eastAsia="Calibri" w:hAnsiTheme="majorHAnsi"/>
          <w:sz w:val="20"/>
          <w:szCs w:val="20"/>
          <w:lang w:eastAsia="bg-BG"/>
        </w:rPr>
        <w:t xml:space="preserve">Настоящата Стратегия е одобрена от </w:t>
      </w:r>
      <w:r w:rsidR="005B3626" w:rsidRPr="005B3626">
        <w:rPr>
          <w:rFonts w:asciiTheme="majorHAnsi" w:eastAsia="Calibri" w:hAnsiTheme="majorHAnsi"/>
          <w:sz w:val="20"/>
          <w:szCs w:val="20"/>
          <w:lang w:eastAsia="bg-BG"/>
        </w:rPr>
        <w:t>Обществения съвет на 18.03.2021 г.</w:t>
      </w:r>
      <w:r w:rsidRPr="005B3626">
        <w:rPr>
          <w:rFonts w:asciiTheme="majorHAnsi" w:eastAsia="Calibri" w:hAnsiTheme="majorHAnsi"/>
          <w:sz w:val="20"/>
          <w:szCs w:val="20"/>
          <w:lang w:eastAsia="bg-BG"/>
        </w:rPr>
        <w:t xml:space="preserve"> и Приета от Педагогическия съвет на проведено </w:t>
      </w:r>
      <w:r w:rsidR="005B3626" w:rsidRPr="005B3626">
        <w:rPr>
          <w:rFonts w:asciiTheme="majorHAnsi" w:eastAsia="Calibri" w:hAnsiTheme="majorHAnsi"/>
          <w:sz w:val="20"/>
          <w:szCs w:val="20"/>
          <w:lang w:eastAsia="bg-BG"/>
        </w:rPr>
        <w:t>заседание на дата 11.03.2021</w:t>
      </w:r>
      <w:r w:rsidR="005B3626">
        <w:rPr>
          <w:rFonts w:asciiTheme="majorHAnsi" w:eastAsia="Calibri" w:hAnsiTheme="majorHAnsi"/>
          <w:lang w:eastAsia="bg-BG"/>
        </w:rPr>
        <w:t xml:space="preserve"> г.</w:t>
      </w:r>
    </w:p>
    <w:p w:rsidR="005B3626" w:rsidRDefault="005B3626" w:rsidP="003916D0">
      <w:pPr>
        <w:spacing w:before="100" w:beforeAutospacing="1"/>
        <w:jc w:val="both"/>
        <w:rPr>
          <w:rFonts w:asciiTheme="majorHAnsi" w:eastAsia="Calibri" w:hAnsiTheme="majorHAnsi"/>
          <w:i/>
          <w:lang w:eastAsia="bg-BG"/>
        </w:rPr>
      </w:pPr>
    </w:p>
    <w:p w:rsidR="00532C8F" w:rsidRPr="00A7761C" w:rsidRDefault="00532C8F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6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1.ВЪВЕДЕНИЕ</w:t>
      </w:r>
    </w:p>
    <w:p w:rsidR="00A7761C" w:rsidRPr="00A7761C" w:rsidRDefault="00A7761C" w:rsidP="00A7761C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                Стратегия за развитие на училището /чл.263, ал.1, т.1 от ЗПУО/ за периода 2020-2024 г. е продиктувана от  промените в страната ни в образователната политика след епидемичната обстановка по целия свят от заразяването с вируса 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US"/>
        </w:rPr>
        <w:t>COVID-19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, въвеждането на нов тип обучение от разстояние в електронна среда, както и дистанционно обучение като една от възможните и предпочитани форми, поради масовото затваряне на образователните институции. Тя е изготвена от ръководния екип  на училището и е съобразена с националната и регионална политика в сферата на образованието, като следва изцяло заповедите на Министъра на образованието, Министъра на здравеопазването и конкретните противоепидемични мерки. Нашите приоритети отчитат специфичните особености и традиции на училищната образователна среда в новите условия на обучение, съгласно промените в Наредба № 10 за организация на дейностите за синхронно и асинхронно обучение, както и всички промени в Наредбите от 2020 г. и представят нашите виждания за </w:t>
      </w:r>
      <w:r w:rsidRPr="00A7761C">
        <w:rPr>
          <w:rFonts w:asciiTheme="majorHAnsi" w:eastAsia="Times New Roman" w:hAnsiTheme="majorHAnsi" w:cs="Times New Roman"/>
          <w:b/>
          <w:sz w:val="24"/>
          <w:szCs w:val="24"/>
        </w:rPr>
        <w:t>качествено образование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според Стандарта за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GB"/>
        </w:rPr>
        <w:t xml:space="preserve"> управлението на качеството в институциите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/чл.22, ал.2,т.15 от ЗПУО/ и образователните принципи и цели, заложени в текстовете на ЗПУО /чл.3 и чл. 5 от ЗПУО/.</w:t>
      </w:r>
    </w:p>
    <w:p w:rsidR="00A7761C" w:rsidRPr="00A7761C" w:rsidRDefault="00A7761C" w:rsidP="00A7761C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Нашият екип поема отговорност да провежда училищна политика на партньорство в образователния процес, в която водеща роля имат учениците и учителите, директорът и другите педагогически специалисти, както и родителите като заинтересовани страни и основни партньори в ОРЕС, без които обучението би било невъзможно /2, ал.2 и 4 от ЗПУО/ в новата образователна реалност.</w:t>
      </w:r>
    </w:p>
    <w:p w:rsidR="00A7761C" w:rsidRPr="00A7761C" w:rsidRDefault="00A7761C" w:rsidP="00A7761C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В нашето училище се стремим да  осигурим 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GB"/>
        </w:rPr>
        <w:t>интелектуално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>то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GB"/>
        </w:rPr>
        <w:t>, емоционално, социално, духовно-нравствено и физическо развитие и подкрепа на всяко дете и на всеки ученик в съответствие с възрастта, потребностите, способностите и интересите му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 чрез  </w:t>
      </w:r>
      <w:r w:rsidRPr="00A7761C">
        <w:rPr>
          <w:rFonts w:asciiTheme="majorHAnsi" w:eastAsia="Times New Roman" w:hAnsiTheme="majorHAnsi" w:cs="Times New Roman"/>
          <w:sz w:val="24"/>
          <w:szCs w:val="24"/>
          <w:lang w:val="en-GB"/>
        </w:rPr>
        <w:t xml:space="preserve">ранно откриване на заложбите и способностите </w:t>
      </w:r>
      <w:r w:rsidRPr="00A7761C">
        <w:rPr>
          <w:rFonts w:asciiTheme="majorHAnsi" w:eastAsia="Times New Roman" w:hAnsiTheme="majorHAnsi" w:cs="Times New Roman"/>
          <w:sz w:val="24"/>
          <w:szCs w:val="24"/>
        </w:rPr>
        <w:t xml:space="preserve">му./чл.5, ал.1, т.5. от ЗПУО/ в условията на пълна прозрачност и публичност. </w:t>
      </w:r>
    </w:p>
    <w:p w:rsidR="00A7761C" w:rsidRPr="00A7761C" w:rsidRDefault="00A7761C" w:rsidP="00A7761C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7761C">
        <w:rPr>
          <w:rFonts w:asciiTheme="majorHAnsi" w:eastAsia="Times New Roman" w:hAnsiTheme="majorHAnsi" w:cs="Times New Roman"/>
          <w:sz w:val="24"/>
          <w:szCs w:val="24"/>
        </w:rPr>
        <w:t>Новата реалност наложи приоритетно осигуряване на електронни устройства за учители и ученици, което да направи възможно ефективното обучение в електронна среда.</w:t>
      </w: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61C">
        <w:rPr>
          <w:rFonts w:ascii="Times New Roman" w:eastAsia="Times New Roman" w:hAnsi="Times New Roman" w:cs="Times New Roman"/>
          <w:b/>
          <w:sz w:val="24"/>
          <w:szCs w:val="24"/>
        </w:rPr>
        <w:t xml:space="preserve">    2.НОРМАТИВНИ ДОКУМЕНТИ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>СТРАТЕГИЯТА НА ЕВРОПЕЙСКИЯ СЪЮЗ ЗА ИНТЕЛИГЕНТЕН, УСТОЙЧИВ И ПРИОБЩАВАЩ РАСТЕЖ,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 „ЕВРОПА 2030”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>„БЪЛГАРИЯ 2030“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b/>
          <w:i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Закон за предучилищното и училищно образование /ЗПУО/ </w:t>
      </w:r>
      <w:r w:rsidRPr="00A7761C">
        <w:rPr>
          <w:rFonts w:asciiTheme="majorHAnsi" w:eastAsia="Times New Roman" w:hAnsiTheme="majorHAnsi" w:cs="Times New Roman"/>
          <w:b/>
          <w:i/>
          <w:sz w:val="18"/>
          <w:szCs w:val="18"/>
          <w:lang w:eastAsia="bg-BG"/>
        </w:rPr>
        <w:t>с промени 2020 г.</w:t>
      </w:r>
    </w:p>
    <w:p w:rsidR="00A7761C" w:rsidRPr="00A7761C" w:rsidRDefault="00A7761C" w:rsidP="00A7761C">
      <w:pPr>
        <w:keepNext/>
        <w:keepLines/>
        <w:numPr>
          <w:ilvl w:val="0"/>
          <w:numId w:val="7"/>
        </w:numPr>
        <w:spacing w:after="125" w:line="0" w:lineRule="atLeast"/>
        <w:jc w:val="both"/>
        <w:outlineLvl w:val="1"/>
        <w:rPr>
          <w:rFonts w:asciiTheme="majorHAnsi" w:eastAsia="Times New Roman" w:hAnsiTheme="majorHAnsi" w:cs="Times New Roman"/>
          <w:sz w:val="18"/>
          <w:szCs w:val="18"/>
        </w:rPr>
      </w:pPr>
      <w:r w:rsidRPr="00A7761C">
        <w:rPr>
          <w:rFonts w:asciiTheme="majorHAnsi" w:eastAsia="Times New Roman" w:hAnsiTheme="majorHAnsi" w:cs="Times New Roman"/>
          <w:sz w:val="18"/>
          <w:szCs w:val="18"/>
        </w:rPr>
        <w:t>Наредба № 8 за информацията и документите за системата за предучилищното и училищното образование, 2016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>Наредба №10 за организация на дейностите в училищното образование; изм. Обн. - ДВ, бр. 32 от 16.04.2019 г., промяна от 2020 г.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bCs/>
          <w:sz w:val="18"/>
          <w:szCs w:val="18"/>
          <w:lang w:eastAsia="bg-BG"/>
        </w:rPr>
        <w:t xml:space="preserve">Наредба № 5 от 30 ноември 2015 г. за общообразователната подготовка, </w:t>
      </w:r>
      <w:r w:rsidRPr="00A7761C">
        <w:rPr>
          <w:rFonts w:asciiTheme="majorHAnsi" w:eastAsia="Times New Roman" w:hAnsiTheme="majorHAnsi" w:cs="Times New Roman"/>
          <w:i/>
          <w:iCs/>
          <w:sz w:val="18"/>
          <w:szCs w:val="18"/>
          <w:lang w:eastAsia="bg-BG"/>
        </w:rPr>
        <w:t>в сила от 08.12.2015 г.</w:t>
      </w: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, </w:t>
      </w:r>
      <w:r w:rsidRPr="00A7761C">
        <w:rPr>
          <w:rFonts w:asciiTheme="majorHAnsi" w:eastAsia="Times New Roman" w:hAnsiTheme="majorHAnsi" w:cs="Times New Roman"/>
          <w:i/>
          <w:iCs/>
          <w:sz w:val="18"/>
          <w:szCs w:val="18"/>
          <w:lang w:eastAsia="bg-BG"/>
        </w:rPr>
        <w:t>издадена от министерството на образованието и науката, обн. дв. бр.95 от 8 декември 2015г</w:t>
      </w:r>
      <w:r w:rsidRPr="00A7761C">
        <w:rPr>
          <w:rFonts w:asciiTheme="majorHAnsi" w:eastAsia="Times New Roman" w:hAnsiTheme="majorHAnsi" w:cs="Arial"/>
          <w:i/>
          <w:iCs/>
          <w:sz w:val="18"/>
          <w:szCs w:val="18"/>
          <w:lang w:eastAsia="bg-BG"/>
        </w:rPr>
        <w:t>., изм. 2020 г.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iCs/>
          <w:sz w:val="18"/>
          <w:szCs w:val="18"/>
          <w:lang w:eastAsia="bg-BG"/>
        </w:rPr>
        <w:t xml:space="preserve">Наредба № 15/02.08.2019 г. за статута </w:t>
      </w:r>
      <w:r w:rsidRPr="00A7761C">
        <w:rPr>
          <w:rFonts w:asciiTheme="majorHAnsi" w:eastAsia="Calibri" w:hAnsiTheme="majorHAnsi" w:cs="Times New Roman"/>
          <w:sz w:val="18"/>
          <w:szCs w:val="18"/>
        </w:rPr>
        <w:t xml:space="preserve">и професионалното  развитие на учителите, директорите и другите педагогически специалисти </w:t>
      </w:r>
    </w:p>
    <w:p w:rsidR="00A7761C" w:rsidRPr="00A7761C" w:rsidRDefault="00A7761C" w:rsidP="00A7761C">
      <w:pPr>
        <w:keepNext/>
        <w:keepLines/>
        <w:numPr>
          <w:ilvl w:val="0"/>
          <w:numId w:val="7"/>
        </w:numPr>
        <w:shd w:val="clear" w:color="auto" w:fill="FFFFFF"/>
        <w:spacing w:after="150" w:line="240" w:lineRule="auto"/>
        <w:outlineLvl w:val="2"/>
        <w:rPr>
          <w:rFonts w:asciiTheme="majorHAnsi" w:eastAsiaTheme="majorEastAsia" w:hAnsiTheme="majorHAnsi" w:cstheme="majorBidi"/>
          <w:sz w:val="18"/>
          <w:szCs w:val="18"/>
          <w:lang w:val="en-US"/>
        </w:rPr>
      </w:pPr>
      <w:r w:rsidRPr="00A7761C">
        <w:rPr>
          <w:rFonts w:asciiTheme="majorHAnsi" w:eastAsiaTheme="majorEastAsia" w:hAnsiTheme="majorHAnsi" w:cstheme="majorBidi"/>
          <w:sz w:val="18"/>
          <w:szCs w:val="18"/>
          <w:lang w:val="en-GB"/>
        </w:rPr>
        <w:t>Наредба № 15 от 08.12.2016 г. за инспектирането на детските градини и училищата</w:t>
      </w:r>
      <w:r w:rsidRPr="00A7761C">
        <w:rPr>
          <w:rFonts w:asciiTheme="majorHAnsi" w:eastAsiaTheme="majorEastAsia" w:hAnsiTheme="majorHAnsi" w:cstheme="majorBidi"/>
          <w:sz w:val="18"/>
          <w:szCs w:val="18"/>
        </w:rPr>
        <w:t xml:space="preserve">, </w:t>
      </w:r>
      <w:r w:rsidRPr="00A7761C">
        <w:rPr>
          <w:rFonts w:asciiTheme="majorHAnsi" w:eastAsiaTheme="majorEastAsia" w:hAnsiTheme="majorHAnsi" w:cstheme="majorBidi"/>
          <w:b/>
          <w:bCs/>
          <w:sz w:val="18"/>
          <w:szCs w:val="18"/>
          <w:lang w:val="en-GB"/>
        </w:rPr>
        <w:t>(Обн. - ДВ, бр. 100 от 16.12.2016 г.)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Наредба </w:t>
      </w:r>
      <w:r w:rsidRPr="00A7761C">
        <w:rPr>
          <w:rFonts w:asciiTheme="majorHAnsi" w:eastAsia="Times New Roman" w:hAnsiTheme="majorHAnsi" w:cs="Times New Roman"/>
          <w:sz w:val="18"/>
          <w:szCs w:val="18"/>
          <w:lang w:val="en-US" w:eastAsia="bg-BG"/>
        </w:rPr>
        <w:t xml:space="preserve">№ </w:t>
      </w: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2 от </w:t>
      </w:r>
      <w:r w:rsidRPr="00A7761C">
        <w:rPr>
          <w:rFonts w:asciiTheme="majorHAnsi" w:eastAsia="Times New Roman" w:hAnsiTheme="majorHAnsi" w:cs="Times New Roman"/>
          <w:sz w:val="18"/>
          <w:szCs w:val="18"/>
          <w:lang w:val="en-US" w:eastAsia="bg-BG"/>
        </w:rPr>
        <w:t xml:space="preserve">2016 </w:t>
      </w: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 xml:space="preserve">г. за усвояването на българския книжовен език 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bCs/>
          <w:sz w:val="18"/>
          <w:szCs w:val="18"/>
          <w:lang w:eastAsia="bg-BG"/>
        </w:rPr>
        <w:lastRenderedPageBreak/>
        <w:t xml:space="preserve">Наредба № 4 от 30 ноември 2015 г. за учебния план </w:t>
      </w:r>
      <w:r w:rsidRPr="00A7761C">
        <w:rPr>
          <w:rFonts w:asciiTheme="majorHAnsi" w:eastAsia="Times New Roman" w:hAnsiTheme="majorHAnsi" w:cs="Times New Roman"/>
          <w:i/>
          <w:iCs/>
          <w:sz w:val="18"/>
          <w:szCs w:val="18"/>
          <w:lang w:eastAsia="bg-BG"/>
        </w:rPr>
        <w:t>в сила от 04.12.2015 г., издадена от министерството на образованието и науката, обн. дв. бр.94 от 4 декември 2015г, изм. 2020 г.</w:t>
      </w:r>
    </w:p>
    <w:p w:rsidR="00A7761C" w:rsidRPr="00A7761C" w:rsidRDefault="00A7761C" w:rsidP="00A7761C">
      <w:pPr>
        <w:keepNext/>
        <w:keepLines/>
        <w:numPr>
          <w:ilvl w:val="0"/>
          <w:numId w:val="7"/>
        </w:numPr>
        <w:shd w:val="clear" w:color="auto" w:fill="FFFFFF"/>
        <w:spacing w:after="150" w:line="240" w:lineRule="auto"/>
        <w:outlineLvl w:val="2"/>
        <w:rPr>
          <w:rFonts w:asciiTheme="majorHAnsi" w:eastAsiaTheme="majorEastAsia" w:hAnsiTheme="majorHAnsi" w:cstheme="majorBidi"/>
          <w:sz w:val="18"/>
          <w:szCs w:val="18"/>
          <w:lang w:val="en-US"/>
        </w:rPr>
      </w:pPr>
      <w:r w:rsidRPr="00A7761C">
        <w:rPr>
          <w:rFonts w:asciiTheme="majorHAnsi" w:eastAsiaTheme="majorEastAsia" w:hAnsiTheme="majorHAnsi" w:cstheme="majorBidi"/>
          <w:sz w:val="18"/>
          <w:szCs w:val="18"/>
          <w:lang w:val="en-GB"/>
        </w:rPr>
        <w:t>Наредба за приобщаващото образование</w:t>
      </w:r>
      <w:r w:rsidRPr="00A7761C">
        <w:rPr>
          <w:rFonts w:asciiTheme="majorHAnsi" w:eastAsiaTheme="majorEastAsia" w:hAnsiTheme="majorHAnsi" w:cstheme="majorBidi"/>
          <w:sz w:val="18"/>
          <w:szCs w:val="18"/>
        </w:rPr>
        <w:t xml:space="preserve">, </w:t>
      </w:r>
      <w:r w:rsidRPr="00A7761C"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  <w:lang w:val="en-GB"/>
        </w:rPr>
        <w:t>(обн. - ДВ, бр. 86 от 27.10.2017 г., в сила от 27.10.2017 г. </w:t>
      </w:r>
    </w:p>
    <w:p w:rsidR="00A7761C" w:rsidRPr="00A7761C" w:rsidRDefault="00A7761C" w:rsidP="00A7761C">
      <w:pPr>
        <w:keepNext/>
        <w:keepLines/>
        <w:numPr>
          <w:ilvl w:val="0"/>
          <w:numId w:val="7"/>
        </w:numPr>
        <w:shd w:val="clear" w:color="auto" w:fill="FFFFFF"/>
        <w:spacing w:after="150" w:line="240" w:lineRule="auto"/>
        <w:outlineLvl w:val="2"/>
        <w:rPr>
          <w:rFonts w:asciiTheme="majorHAnsi" w:eastAsiaTheme="majorEastAsia" w:hAnsiTheme="majorHAnsi" w:cstheme="majorBidi"/>
          <w:b/>
          <w:bCs/>
          <w:sz w:val="18"/>
          <w:szCs w:val="18"/>
          <w:lang w:val="en-GB"/>
        </w:rPr>
      </w:pPr>
      <w:r w:rsidRPr="00A7761C">
        <w:rPr>
          <w:rFonts w:asciiTheme="majorHAnsi" w:eastAsiaTheme="majorEastAsia" w:hAnsiTheme="majorHAnsi" w:cstheme="majorBidi"/>
          <w:sz w:val="18"/>
          <w:szCs w:val="18"/>
          <w:lang w:val="en-GB"/>
        </w:rPr>
        <w:t>Наредба № 13 от 21.09.2016 г. за гражданското, здравното, екологичното и интеркултурното образование</w:t>
      </w:r>
      <w:r w:rsidRPr="00A7761C">
        <w:rPr>
          <w:rFonts w:asciiTheme="majorHAnsi" w:eastAsiaTheme="majorEastAsia" w:hAnsiTheme="majorHAnsi" w:cstheme="majorBidi"/>
          <w:sz w:val="18"/>
          <w:szCs w:val="18"/>
        </w:rPr>
        <w:t xml:space="preserve">, </w:t>
      </w:r>
      <w:r w:rsidRPr="00A7761C">
        <w:rPr>
          <w:rFonts w:asciiTheme="majorHAnsi" w:eastAsiaTheme="majorEastAsia" w:hAnsiTheme="majorHAnsi" w:cstheme="majorBidi"/>
          <w:b/>
          <w:bCs/>
          <w:sz w:val="18"/>
          <w:szCs w:val="18"/>
          <w:lang w:val="en-GB"/>
        </w:rPr>
        <w:t>(Обн. - ДВ, бр. 80 от 11.10.2016 г., в сила от 11.10.2016 г.)</w:t>
      </w:r>
    </w:p>
    <w:p w:rsidR="00A7761C" w:rsidRPr="00A7761C" w:rsidRDefault="00A7761C" w:rsidP="00A7761C">
      <w:pPr>
        <w:keepNext/>
        <w:keepLines/>
        <w:numPr>
          <w:ilvl w:val="0"/>
          <w:numId w:val="7"/>
        </w:numPr>
        <w:shd w:val="clear" w:color="auto" w:fill="FFFFFF"/>
        <w:spacing w:after="150" w:line="240" w:lineRule="auto"/>
        <w:outlineLvl w:val="2"/>
        <w:rPr>
          <w:rFonts w:asciiTheme="majorHAnsi" w:eastAsiaTheme="majorEastAsia" w:hAnsiTheme="majorHAnsi" w:cstheme="majorBidi"/>
          <w:sz w:val="18"/>
          <w:szCs w:val="18"/>
          <w:lang w:val="en-US"/>
        </w:rPr>
      </w:pPr>
      <w:r w:rsidRPr="00A7761C">
        <w:rPr>
          <w:rFonts w:asciiTheme="majorHAnsi" w:eastAsiaTheme="majorEastAsia" w:hAnsiTheme="majorHAnsi" w:cstheme="majorBidi"/>
          <w:sz w:val="18"/>
          <w:szCs w:val="18"/>
          <w:lang w:val="en-GB"/>
        </w:rPr>
        <w:t>Наредба № 11 от 01.09.2016 г. за оценяване на резултатите от обучението на учениците</w:t>
      </w:r>
      <w:r w:rsidRPr="00A7761C">
        <w:rPr>
          <w:rFonts w:asciiTheme="majorHAnsi" w:eastAsiaTheme="majorEastAsia" w:hAnsiTheme="majorHAnsi" w:cstheme="majorBidi"/>
          <w:sz w:val="18"/>
          <w:szCs w:val="18"/>
        </w:rPr>
        <w:t xml:space="preserve">, </w:t>
      </w:r>
      <w:r w:rsidRPr="00A7761C"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  <w:lang w:val="en-GB"/>
        </w:rPr>
        <w:t>(Обн. - ДВ, бр. 74 от 20.09.2016 г., в сила от 20.09.2016 г.; изм. и доп., бр. 78 от 29.09.2017 г., в сила от 29.09.2017 г.)</w:t>
      </w:r>
      <w:r w:rsidRPr="00A7761C">
        <w:rPr>
          <w:rFonts w:asciiTheme="majorHAnsi" w:eastAsiaTheme="majorEastAsia" w:hAnsiTheme="majorHAnsi" w:cstheme="majorBidi"/>
          <w:b/>
          <w:bCs/>
          <w:i/>
          <w:iCs/>
          <w:sz w:val="18"/>
          <w:szCs w:val="18"/>
        </w:rPr>
        <w:t>, изм. 2020 г.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eastAsia="bg-BG"/>
        </w:rPr>
        <w:t>Европейската референтна рамка за ключовите компетентности за учене през целия живот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Theme="minorEastAsia" w:hAnsiTheme="majorHAnsi" w:cs="Times New Roman"/>
          <w:kern w:val="24"/>
          <w:sz w:val="18"/>
          <w:szCs w:val="18"/>
          <w:lang w:eastAsia="bg-BG"/>
        </w:rPr>
        <w:t>Стратегия за образователна интеграция на учениците от етническите малцинства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Theme="minorEastAsia" w:hAnsiTheme="majorHAnsi" w:cs="Times New Roman"/>
          <w:kern w:val="24"/>
          <w:sz w:val="18"/>
          <w:szCs w:val="18"/>
          <w:lang w:eastAsia="bg-BG"/>
        </w:rPr>
        <w:t xml:space="preserve">  Национална стратегия за въвеждане на ИКТ в училищата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Theme="minorEastAsia" w:hAnsiTheme="majorHAnsi" w:cs="Times New Roman"/>
          <w:kern w:val="24"/>
          <w:sz w:val="18"/>
          <w:szCs w:val="18"/>
          <w:lang w:eastAsia="bg-BG"/>
        </w:rPr>
        <w:t>Национална програма за развитие на физическото възпитание и спорта.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ahoma"/>
          <w:sz w:val="18"/>
          <w:szCs w:val="18"/>
          <w:lang w:val="en-US"/>
        </w:rPr>
        <w:t>ПОСТАНОВЛЕНИЕ № 100 ОТ 8 ЮНИ 2018 Г. ЗА СЪЗДАВАНЕ И ФУНКЦИОНИРАНЕ НА МЕХАНИЗЪМ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(ЗАГЛ. ИЗМ. И ДОП. - ДВ, БР. 82 ОТ 2019 Г.)</w:t>
      </w:r>
      <w:r w:rsidRPr="00A7761C">
        <w:rPr>
          <w:rFonts w:asciiTheme="majorHAnsi" w:eastAsia="Times New Roman" w:hAnsiTheme="majorHAnsi" w:cs="Tahoma"/>
          <w:sz w:val="18"/>
          <w:szCs w:val="18"/>
        </w:rPr>
        <w:t xml:space="preserve">, </w:t>
      </w:r>
      <w:r w:rsidRPr="00A7761C">
        <w:rPr>
          <w:rFonts w:asciiTheme="majorHAnsi" w:eastAsia="Times New Roman" w:hAnsiTheme="majorHAnsi" w:cs="Tahoma"/>
          <w:sz w:val="18"/>
          <w:szCs w:val="18"/>
          <w:lang w:val="en-US"/>
        </w:rPr>
        <w:t>Обн. ДВ. бр.50 от 15 Юни 2018г., изм. и доп. ДВ. бр.82 от 18 Октомври 2019г.</w:t>
      </w:r>
    </w:p>
    <w:p w:rsidR="00A7761C" w:rsidRPr="00A7761C" w:rsidRDefault="00A7761C" w:rsidP="00A7761C">
      <w:pPr>
        <w:shd w:val="clear" w:color="auto" w:fill="FFFFFF"/>
        <w:spacing w:after="0" w:line="240" w:lineRule="auto"/>
        <w:ind w:left="1353"/>
        <w:rPr>
          <w:rFonts w:asciiTheme="majorHAnsi" w:eastAsia="Times New Roman" w:hAnsiTheme="majorHAnsi" w:cs="Tahoma"/>
          <w:sz w:val="18"/>
          <w:szCs w:val="18"/>
          <w:lang w:val="en-US"/>
        </w:rPr>
      </w:pP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ahoma"/>
          <w:sz w:val="18"/>
          <w:szCs w:val="18"/>
        </w:rPr>
        <w:t>ВСИЧКИ НОРМАТИВНИ АКТОВЕ ЗА ОРЕС.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val="en-US"/>
        </w:rPr>
        <w:t>Наредба за изменение и допълнение на Наредба № 9 от 2016 г. за институциите в системата на предучилищното и училищното образование (ДВ, бр. 68 от 2016 г.) В сила от 09.10.2020 г. Издадена от министъра на образованието и науката Обн. ДВ. бр.87 от 9.10.2020 г.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val="en-US"/>
        </w:rPr>
        <w:t>Наредба за изменение и допълнение на Наредба № 10 от 2016 г. за организация на дейностите в училищното образование (ДВ, бр. 73 от 2016 г.) В сила от 02.10.2020 г. Издадена от министъра на образованието и науката Обн. ДВ. бр.85 от 2 октомври 2020 г.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val="en-US"/>
        </w:rPr>
        <w:t>Наредба за изменение и допълнение на Наредба № 5 от 2016 г. за предучилищното образование (ДВ, бр. 46 от 2016 г.) В сила от 02.10.2020 г. Издадена от министъра на образованието и науката Обн. ДВ. бр.85 от 2 октомври 2020 г.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imes New Roman"/>
          <w:sz w:val="18"/>
          <w:szCs w:val="18"/>
          <w:lang w:val="en-US"/>
        </w:rPr>
        <w:t>НАРЕДБА за изменение и допълнение на Наредба № 11 от 2016 г. за оценяване на резултатите от обучението на учениците (обн., ДВ, бр. 74 от 2016 г; изм. и доп., бр. 78 от 2017 г., бр. 82 от 2018 г., бр. 71 от 2019 г.) Издадена от министъра на образованието и науката, oбн., ДВ, бр. 77 от 1.09.2020 г., в сила от 15.09.2020 г.</w:t>
      </w:r>
    </w:p>
    <w:p w:rsidR="00A7761C" w:rsidRPr="00A7761C" w:rsidRDefault="00A7761C" w:rsidP="00A7761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="Tahoma"/>
          <w:sz w:val="18"/>
          <w:szCs w:val="18"/>
          <w:lang w:val="en-US"/>
        </w:rPr>
      </w:pPr>
      <w:r w:rsidRPr="00A7761C">
        <w:rPr>
          <w:rFonts w:asciiTheme="majorHAnsi" w:eastAsia="Times New Roman" w:hAnsiTheme="majorHAnsi" w:cs="Tahoma"/>
          <w:sz w:val="18"/>
          <w:szCs w:val="18"/>
        </w:rPr>
        <w:t>ВСИЧКИ ПРОМЕНИ В НОРМАТИВНИТЕ АКТОВЕ – НАРЕДБИ, ПИСМА НА МИНИСТЪРА И ЗПУО – от началото на извънредното положение</w:t>
      </w:r>
    </w:p>
    <w:p w:rsidR="00A7761C" w:rsidRPr="00A7761C" w:rsidRDefault="00A7761C" w:rsidP="00A7761C">
      <w:pPr>
        <w:numPr>
          <w:ilvl w:val="0"/>
          <w:numId w:val="7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sz w:val="18"/>
          <w:szCs w:val="18"/>
          <w:lang w:eastAsia="bg-BG"/>
        </w:rPr>
      </w:pPr>
      <w:r w:rsidRPr="00A7761C">
        <w:rPr>
          <w:rFonts w:asciiTheme="majorHAnsi" w:eastAsiaTheme="minorEastAsia" w:hAnsiTheme="majorHAnsi" w:cs="Times New Roman"/>
          <w:kern w:val="24"/>
          <w:sz w:val="18"/>
          <w:szCs w:val="18"/>
          <w:lang w:eastAsia="bg-BG"/>
        </w:rPr>
        <w:t>СПЕЦИФИКАТА НА КОНКРЕТНОТО УЧИЛИЩЕ ОТ СТАНДАРТА ЗА ИНСТИТУЦИИТЕ.</w:t>
      </w:r>
    </w:p>
    <w:p w:rsidR="00A7761C" w:rsidRPr="00A7761C" w:rsidRDefault="00A7761C" w:rsidP="00A7761C">
      <w:pPr>
        <w:shd w:val="clear" w:color="auto" w:fill="FFFFFF"/>
        <w:spacing w:before="100" w:beforeAutospacing="1" w:after="0" w:line="240" w:lineRule="auto"/>
        <w:ind w:left="1656"/>
        <w:jc w:val="both"/>
        <w:rPr>
          <w:rFonts w:asciiTheme="majorHAnsi" w:eastAsiaTheme="majorEastAsia" w:hAnsiTheme="majorHAnsi" w:cs="Times New Roman"/>
          <w:b/>
          <w:kern w:val="24"/>
          <w:sz w:val="24"/>
          <w:szCs w:val="24"/>
          <w:lang w:val="en-US"/>
        </w:rPr>
      </w:pPr>
      <w:r w:rsidRPr="00A7761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7761C">
        <w:rPr>
          <w:rFonts w:asciiTheme="majorHAnsi" w:eastAsiaTheme="majorEastAsia" w:hAnsiTheme="majorHAnsi" w:cs="Times New Roman"/>
          <w:b/>
          <w:kern w:val="24"/>
          <w:sz w:val="24"/>
          <w:szCs w:val="24"/>
          <w:lang w:val="en-US"/>
        </w:rPr>
        <w:t xml:space="preserve"> SWOT АНАЛИЗ</w:t>
      </w: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7225"/>
        <w:gridCol w:w="6378"/>
      </w:tblGrid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СИЛНИ СТРАНИ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ВЪЗМОЖНОСТИ 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ПРИОРИТЕТНА ОБЛАСТ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1. Ефективност на взаимодействието в процеса на обучението</w:t>
            </w: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lang w:val="en-GB"/>
              </w:rPr>
              <w:t> 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t>Критерий №1 Преподавателска и възпитателска дейност</w:t>
            </w:r>
          </w:p>
          <w:p w:rsidR="00A7761C" w:rsidRPr="00A7761C" w:rsidRDefault="00A7761C" w:rsidP="00A7761C">
            <w:pPr>
              <w:numPr>
                <w:ilvl w:val="1"/>
                <w:numId w:val="8"/>
              </w:numPr>
              <w:shd w:val="clear" w:color="auto" w:fill="FFFFFF"/>
              <w:spacing w:before="100" w:beforeAutospacing="1"/>
              <w:contextualSpacing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t xml:space="preserve">Бързо и адекватно навлизане в електронното обучение и адаптиране на уроците към създадената от МОН платформа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US" w:eastAsia="bg-BG"/>
              </w:rPr>
              <w:t>MS Teams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t xml:space="preserve">; </w:t>
            </w:r>
          </w:p>
          <w:p w:rsidR="00A7761C" w:rsidRPr="00A7761C" w:rsidRDefault="00A7761C" w:rsidP="00A7761C">
            <w:pPr>
              <w:numPr>
                <w:ilvl w:val="1"/>
                <w:numId w:val="8"/>
              </w:numPr>
              <w:shd w:val="clear" w:color="auto" w:fill="FFFFFF"/>
              <w:spacing w:before="100" w:beforeAutospacing="1"/>
              <w:contextualSpacing/>
              <w:jc w:val="both"/>
              <w:textAlignment w:val="baseline"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t xml:space="preserve"> Участие на училището в различни програми и проекти за осигуряване на техника, МОН, и др.</w:t>
            </w:r>
          </w:p>
          <w:p w:rsidR="00A7761C" w:rsidRPr="00A7761C" w:rsidRDefault="00A7761C" w:rsidP="00A7761C">
            <w:pPr>
              <w:numPr>
                <w:ilvl w:val="1"/>
                <w:numId w:val="8"/>
              </w:numPr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lastRenderedPageBreak/>
              <w:t>Стегната организация по проучване възможностите за обучение в ОРЕС и обезпечаване на нуждите</w:t>
            </w:r>
          </w:p>
          <w:p w:rsidR="00A7761C" w:rsidRPr="00A7761C" w:rsidRDefault="00A7761C" w:rsidP="00A7761C">
            <w:pPr>
              <w:numPr>
                <w:ilvl w:val="1"/>
                <w:numId w:val="8"/>
              </w:numPr>
              <w:contextualSpacing/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eastAsia="bg-BG"/>
              </w:rPr>
              <w:t>Създадени условия за позитивни мотиви за учене у учениците: индивидуален подход, дейности за изява на способностите и възможностите;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lastRenderedPageBreak/>
              <w:t>Единни европейски стандарти за качество на образованието;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Използване на нови технологии и интерактивни методи в обучението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Приложение на трансдисциплинарния подход.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Проекто-базирано обучение. Експериментално учене.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Учене, базирано на опит.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2. Ефективност на взаимодействието за личностно развитие на учениците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-Приложение на иновационни интерактивни методи на работа от голяма част от учителите във физическа и електронна среда;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Практическа насоченост, иновативност, креативност и интерактивни методи и форми в обучението във физическа е електронна среда;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-Създадени условия за въвеждането на информационните технологии в организирането и провеждането на учебния процес по всички учебни предмети;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-Повишаване на квалификацията и обмяна на добри педагогически практики между учителите за работа във физическа и електронна среда;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Формирани активи на класа във физическа и електронна среда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и работа в ЕКИП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Оптимизиране на екипната работа в различните направления;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Ефективна организация на дейностите в ЦДО за екипна работа.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Оптимизиране на екипната работа в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ЦДО – възможности за провеждане на самоподготовка в ел. среда и обратна връзка за проверка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;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3. Проследяване на напредъка на учениците и оценяване на резултатите от обучението на учениците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Желание от страна на учениците за участие в училищни дейности във физическа и електронна среда;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Стимулираща среда за извънкласни дейности и творчески изяви. 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Разработване на индивидуални програми за работа с учениците със специални образователни потребности;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Ефективна работа на ЕПЛР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Theme="minorEastAsia" w:hAnsiTheme="majorHAnsi" w:cs="Times New Roman"/>
                <w:i/>
                <w:kern w:val="24"/>
                <w:sz w:val="24"/>
                <w:szCs w:val="24"/>
              </w:rPr>
              <w:t>Своевременно подаване броя на отсъствията в  модул „Отсъствия“ в НЕИСУО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Засилени мерки за контрол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на отсъствията и успеха на учениците за работа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Нови форми на проверка и оценка и обратна връзка – тестови изпитвания – Наредба 11.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4. Социализация и възпитание в образователния процес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lastRenderedPageBreak/>
              <w:t>Съхренение на развиваното доверие между учители, ученици и родители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Установяване на трайни взаимоотношения на сътрудничество с родителите за оказване на възпитателно въздействие върху учениците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Приета система за взаимодействие с родителите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и институции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Превенция на противообществените прояв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и чрез ефективно взаимодействие с родители и институции.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Пълноценно функциониране на УКБППМН, разглеждане на всеки случай на провинено дете;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Сътрудничество с МКБППМН, детска педагогическа стая, отдел закрила на детето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Превантивна дейност с децата в риск.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Желание от страна на учениците за участие в училищни дейности във физическа и електронна среда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Привличане на учениците като партньори в разработване и реализиране на проекти;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  <w:lang w:val="en-GB"/>
              </w:rPr>
              <w:t>5. Обхващане, включване и предотвратяване на отпадането от образователната система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</w:t>
            </w: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lang w:val="en-GB"/>
              </w:rPr>
              <w:t>на деца 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</w:t>
            </w: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lang w:val="en-GB"/>
              </w:rPr>
              <w:t>ученици в задължителна предучилищна и училищна възраст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Взаимодействие на класните ръководители с ЕПЛР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Ранно идентифициране на децата в риск чрез проучване и оценка на потребностите и интересите на учениците;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Ефективна работа на ЕПЛР.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Откриване и предотвратяване на причините, довеждащи отпадането на децата от училище;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  <w:lang w:val="en-GB"/>
              </w:rPr>
              <w:t>6. Степен на удовлетвореност от образователния процес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Ученици – реализиран на 100% план-прием;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Липсва текучество на учители.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Доверие на родители, видно от високия интерес при приема на ученици.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ПРИОРИТЕТНА ОБЛАСТ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1. Устойчиво развитие на училището</w:t>
            </w:r>
          </w:p>
          <w:p w:rsidR="00A7761C" w:rsidRPr="00A7761C" w:rsidRDefault="00A7761C" w:rsidP="00A7761C">
            <w:pPr>
              <w:shd w:val="clear" w:color="auto" w:fill="FFFFFF"/>
              <w:spacing w:line="391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1"/>
                <w:szCs w:val="21"/>
              </w:rPr>
              <w:t>СТРАТЕГИЧЕСКИ/ОПЕРАТИВЕН МЕНИДЖМЪНТ</w:t>
            </w:r>
            <w:r w:rsidRPr="00A7761C">
              <w:rPr>
                <w:rFonts w:asciiTheme="majorHAnsi" w:eastAsia="Times New Roman" w:hAnsiTheme="majorHAnsi" w:cs="Times New Roman"/>
                <w:sz w:val="21"/>
                <w:szCs w:val="21"/>
                <w:lang w:val="en-GB"/>
              </w:rPr>
              <w:t> 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1.Актуализация на вътрешни норметивни актове.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Залагане на промените, съгласно действащата нормативна уредба.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2. Ефективно управление на ресурсите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ЧОВЕШКИ -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Обезпеченост с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квалифицирани,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висококомпетентни и мотивирани учители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; създадена система за квалификация на пед. специалисти.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Подкрепяща национална политика за развитие на образованието; Кариерно развитие и професионално усъвършенстване.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Високи изисквания към собствената научна и методическа подготовка.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lastRenderedPageBreak/>
              <w:t xml:space="preserve">Екипи за ключови компетентности –МО, които споделят идеи, добри практики, постигнати резултати.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Адаптиране на стила и методите на работа на учителите и ориентиране на обучението към потребностите на обществото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Материални – Пълно осигуряване на хигиенни материали, технологична обезпеченост с компютърна техника, таблети, интернет.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Осигуряване на безопасна и сигурна среда в здравословни условия за обучение и труд.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 xml:space="preserve">Изработване на едногодишен план съобразно оценката на риска.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Предвиждане на дейности за отстраняване на ресковете, съобразно изискванияна на МЗ и спецификата на У/ДГ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Финансови – заплащане на ОРЕС и заместване, средства за социални разходи, ДТВ, ДО и ОРЕС.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Използване на системата за оценка на труда за стимулиране и поощрение на добрите резултати в обр. процес;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Актуализация на ВПРЗ, вътрешни правилници и заповеди;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Увеличение на РЗ според ПМС, считано от 01.01.2021 г.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Заплащане на допълнителните средства за работа в ОРЕС – 30 лв.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Актуализация на РЗ.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Нов подход при управление на информационните ресурси чрез 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  <w:t xml:space="preserve">Поддържане на интернет страница на училището с 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</w:rPr>
              <w:t>актуална информация по време на изолация и ОРЕС;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- 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  <w:t xml:space="preserve">публикуване на 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актуални заповеди и 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  <w:t xml:space="preserve">вътрешноучилищни нормативни документи, бланки, съобщения, 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</w:rPr>
              <w:t>-</w:t>
            </w:r>
            <w:r w:rsidRPr="00A7761C">
              <w:rPr>
                <w:rFonts w:asciiTheme="majorHAnsi" w:eastAsia="Times New Roman" w:hAnsiTheme="majorHAnsi" w:cs="Times New Roman"/>
                <w:sz w:val="18"/>
                <w:szCs w:val="18"/>
                <w:lang w:val="en-GB"/>
              </w:rPr>
              <w:t>постижения на учители и ученици, галерия със снимки.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Тясна връзка със заинтересовани страни.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3. Управление и развитие на  физическата среда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  <w:t>Осигурени безопасни условия в борбата с Ковид 19 – изпълнение на едногодишен план въз основа оценката на риска.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Засилен контрол на хигиената на физическата среда, носенето на маски, осигуряването на зони за движение, оптимални графици за ОРЕС и присъствено обучение.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  <w:t>Осигурен пропускателен режим на всички отворени входове. Оптимизиране графика на охраната.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Намаляване риска от достъп на външни лица в сградата на училището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 оглед недопускане на заразени лица;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-предотвратяване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условия за инциденти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  <w:t xml:space="preserve">Изпълнение на план за действие за </w:t>
            </w: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преминаване на едносменен</w:t>
            </w:r>
            <w:r w:rsidRPr="00A7761C"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  <w:t xml:space="preserve"> режим на обучение;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Кандидатстване по програма за пристрояване на училищни сгради – МОН.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Тематични експозиции от проектни дейности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художествени произведения на ученици и учители в училището;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Създаване на условия за експониране на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проекти и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художествени произведения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от състезания и проектни дейности.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Цялостен основен ремонт на сградния фонд за работа във физическа и електронна среда;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i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Ергономична и естетизирана среда;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Мерки за кандидатстване по проекти и програми;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Целесъобразно разпределение на бюджетни средства.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Екипна работа на педагогическите специалисти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при планиране и организиране на дейности с учениците във физическа и електронна среда;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Засилени мерки за контрол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 опазване на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физическа и електронна среда;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Подобряване на физическата среда за спорт и отдих, класни стаи на открито, места за отдих и изчакване на учениците –пейки и кътове и др.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-Цялостен основен ремонт на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дворно пространство и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сградния фонд за работа в новите условия на физическа и електронна среда;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4. Развитие на институционалната култура в училището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Добри изяви на учениците в областта на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екологията, математиката, българският и чуждите езици, информационните технологии,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изобразителното изкуство, музиката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Възможности за изяви чрез организирани Национални, регионални и училищни състезания и фестивали 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Ефективна работа на ЕПЛР с ученици от малцинствен произход, ученици със СОП и ученици в риск.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Създадени възможности за присъствено обучение и ОРЕС на учениците, нуждаещи се от доп. подкрепа.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Създаване на толерантна среда в училището – разработване и прилагане на разнообразни форми и програми за деца с трудности и дефицити в обучението с цел - Превенция на противообществените прояви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 xml:space="preserve">Позитивен организационен климат в новата обр. реалност – електронни часове и дистанционно обучение.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Непрекъснато преосмисляне и актуализиране на училищните политики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за включване в обр дейности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с оглед новите реалности и изисквания на участниците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 обр. п-с.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</w:pPr>
            <w:r w:rsidRPr="00A7761C">
              <w:rPr>
                <w:rFonts w:asciiTheme="majorHAnsi" w:eastAsia="Times New Roman" w:hAnsiTheme="majorHAnsi" w:cs="Times New Roman"/>
                <w:bCs/>
                <w:sz w:val="21"/>
                <w:szCs w:val="21"/>
                <w:shd w:val="clear" w:color="auto" w:fill="FFFFFF"/>
              </w:rPr>
              <w:t>Благотворителни кампании и дарителски акции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Подпомагане на хора в нужда.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5. Управлениe на партньорства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Добра координация и обмен на информация между класните ръководители, педагогическия съветник и ръководството на училището при работа с ученици с проблемно поведение или в риск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Ефективно взаимодействие на създадените екипи за позитивна среда и др.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Включване на родителите в училищни инициативи и съвместни дейности;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Съвместно планиране на дейностите в част от класовете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Провеждане на индивидуални консултации на ученици и родители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 Изграден ресурс за работа по проекти;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- Добро международно сътрудничество с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партньори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от ЕС;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- Добро взаимодействие с НПО и културните институти;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Дългосрочни и ефективни външни партньорства.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Утвърждаване на партньорства чрез нови съвместни инициативи.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Разширяване на партньорства с правителствени,  неправителствени организации и представители на бизнеса; - Включване на общинската власт като активен партньор на училището.</w:t>
            </w:r>
          </w:p>
        </w:tc>
      </w:tr>
      <w:tr w:rsidR="00A7761C" w:rsidRPr="00A7761C" w:rsidTr="00A7761C">
        <w:tc>
          <w:tcPr>
            <w:tcW w:w="13603" w:type="dxa"/>
            <w:gridSpan w:val="2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b/>
                <w:bCs/>
                <w:sz w:val="21"/>
                <w:szCs w:val="21"/>
                <w:shd w:val="clear" w:color="auto" w:fill="FFFFFF"/>
                <w:lang w:val="en-GB"/>
              </w:rPr>
              <w:t>Степен на удовлетвореност от управлението на институцията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 xml:space="preserve">СЛАБИ СТРАНИ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ЗАПЛАХИ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 Недостатъчно познаване на нормативната уредба от страна на част от педагогическия персонал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въпреки редовното запознаване от страна на ръководството с промените.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Допускане на съществени грешки в планиращата дейност, организацията на работата и оценяване резултатите от обучението на учениците.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Негативни последствия от дистанционното обучение с н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едостатъчна мотивация на учениците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от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за усвояване на трайни знани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я;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Занижени образователни резултати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Невъзможност за балансиране на теоретични знания с практическо приложение по време на електронното обучение.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Преобладаващите теоретични уроци 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Липса на взаимодействие между учителите относно натоварването на учениците по различните учебни предмети.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Трудно възстановяване на работния ритъм и координация на колегите.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Незадоволително ползване на допълнителни самостоятелно разработени електронни ресурси по време на он-лайн обучението.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Превръщане на уроците в скучни и немотивиращи за активно участие на учениците. 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Електронната среда без допълнителни видеоуроци е невдъхновяваща, натоварваща зрителната памет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Нестимулиран наличен потенциал у учениците.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- Недостатъчна координация между учители и родители. Неподаване на своевременна информация за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постиженията и пропуските по време на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он-лайн обучението от страна на класните ръководители и учителите по съответните предмети.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Липса на прозрачност при оценяване резултатите от обучението и създаване на напрежение при оформяне на окончателни оценки.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- Непоследователност при стимулиране на учениците за постиженията им;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По-малки възможности за публично представяне на проектите и изработените художествени произведения. Неудовлетвореност у учениците и спадане на мотивацията за самостоятелни изяви.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Липса на обратна връзка с родители.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Ниска заинтересованост на голяма част от родителите към случващото се в училище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Пренебрегва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не на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 xml:space="preserve"> потребността на ученика от индивидуален и диференциран подход съобразен с психофизиологичните му особености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Рутината трайно е настанена в голяма част от уроците.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Активизиране членовете на родителския актив. </w:t>
            </w:r>
          </w:p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Подновяване на традиции и нови инициативи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Понижаване на активността на родителския актив.  поради липса на редовни срещи на живо.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Разумен баланс между присъствено и он-лайн обучение за опазване живота и здравето на всички участници в образоватено-възпитателния процес. 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Поставяне като приоритет живота и здравето на ученици, учители и персонал по време на борбата с 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  <w:lang w:val="en-GB"/>
              </w:rPr>
              <w:t>COVID 1</w:t>
            </w: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t>9.</w:t>
            </w:r>
          </w:p>
        </w:tc>
      </w:tr>
      <w:tr w:rsidR="00A7761C" w:rsidRPr="00A7761C" w:rsidTr="00A7761C">
        <w:tc>
          <w:tcPr>
            <w:tcW w:w="7225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sz w:val="24"/>
                <w:szCs w:val="24"/>
              </w:rPr>
              <w:lastRenderedPageBreak/>
              <w:t>Отлагане на процеса на атестиране на педагогическите специалисти след инспектирането на ДГ/У.</w:t>
            </w:r>
          </w:p>
        </w:tc>
        <w:tc>
          <w:tcPr>
            <w:tcW w:w="6378" w:type="dxa"/>
          </w:tcPr>
          <w:p w:rsidR="00A7761C" w:rsidRPr="00A7761C" w:rsidRDefault="00A7761C" w:rsidP="00A7761C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7761C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Не е п</w:t>
            </w:r>
            <w:r w:rsidRPr="00A7761C">
              <w:rPr>
                <w:rFonts w:asciiTheme="majorHAnsi" w:eastAsia="Times New Roman" w:hAnsiTheme="majorHAnsi" w:cs="Times New Roman"/>
                <w:i/>
                <w:sz w:val="24"/>
                <w:szCs w:val="24"/>
                <w:lang w:val="en-GB"/>
              </w:rPr>
              <w:t>роведена самооценка с изводи и мерки за осигуряване на по-високо качество на образованието</w:t>
            </w:r>
            <w:r w:rsidRPr="00A7761C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 xml:space="preserve"> поради отпадането на Наредба № 16 за управление на качеството</w:t>
            </w:r>
          </w:p>
        </w:tc>
      </w:tr>
    </w:tbl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C8F" w:rsidRDefault="00A7761C" w:rsidP="00A7761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7761C"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</w:p>
    <w:p w:rsidR="00A7761C" w:rsidRPr="00A7761C" w:rsidRDefault="00A7761C" w:rsidP="00A7761C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A7761C">
        <w:rPr>
          <w:rFonts w:ascii="Cambria" w:eastAsia="Times New Roman" w:hAnsi="Cambria" w:cs="Times New Roman"/>
          <w:b/>
          <w:sz w:val="24"/>
          <w:szCs w:val="24"/>
        </w:rPr>
        <w:t>4.МИСИЯ</w:t>
      </w:r>
    </w:p>
    <w:p w:rsidR="00A7761C" w:rsidRPr="00A7761C" w:rsidRDefault="00A7761C" w:rsidP="00A7761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A7761C">
        <w:rPr>
          <w:rFonts w:ascii="Cambria" w:eastAsia="Times New Roman" w:hAnsi="Cambria" w:cs="Times New Roman"/>
          <w:sz w:val="24"/>
          <w:szCs w:val="24"/>
        </w:rPr>
        <w:t xml:space="preserve">    Осигуряване на безопасна среда за учене и труд и превръщането на училището в модел на съвременно училище за всеки, с високо качество на образованието. Формиране на личности, притежаващи </w:t>
      </w:r>
      <w:r w:rsidRPr="00A7761C">
        <w:rPr>
          <w:rFonts w:ascii="Cambria" w:eastAsia="Times New Roman" w:hAnsi="Cambria" w:cs="Times New Roman"/>
          <w:sz w:val="24"/>
          <w:szCs w:val="24"/>
          <w:lang w:val="en-GB"/>
        </w:rPr>
        <w:t>компетентности, необходими за успешна личностна и професионална реализация и активен граждански живот в съвременните общности</w:t>
      </w:r>
      <w:r w:rsidRPr="00A7761C">
        <w:rPr>
          <w:rFonts w:ascii="Cambria" w:eastAsia="Times New Roman" w:hAnsi="Cambria" w:cs="Times New Roman"/>
          <w:sz w:val="24"/>
          <w:szCs w:val="24"/>
        </w:rPr>
        <w:t xml:space="preserve"> /чл.5, ал.1, т.3. от ЗПУО/, </w:t>
      </w:r>
      <w:r w:rsidRPr="00A7761C">
        <w:rPr>
          <w:rFonts w:ascii="Cambria" w:eastAsia="Times New Roman" w:hAnsi="Cambria" w:cs="Times New Roman"/>
          <w:sz w:val="24"/>
          <w:szCs w:val="24"/>
          <w:lang w:val="en-GB"/>
        </w:rPr>
        <w:t>разбиране и прилагане на принципите, правилата, отговорностите и правата, които произтичат от членството в Европейския съюз</w:t>
      </w:r>
      <w:r w:rsidRPr="00A7761C">
        <w:rPr>
          <w:rFonts w:ascii="Cambria" w:eastAsia="Times New Roman" w:hAnsi="Cambria" w:cs="Times New Roman"/>
          <w:sz w:val="24"/>
          <w:szCs w:val="24"/>
        </w:rPr>
        <w:t xml:space="preserve"> /чл.5, ал.1, т.12 от ЗПУО/. </w:t>
      </w:r>
    </w:p>
    <w:p w:rsidR="00A7761C" w:rsidRPr="00A7761C" w:rsidRDefault="00A7761C" w:rsidP="00A7761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A7761C" w:rsidRPr="00A7761C" w:rsidRDefault="00A7761C" w:rsidP="00A7761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7761C">
        <w:rPr>
          <w:rFonts w:asciiTheme="majorHAnsi" w:eastAsia="Times New Roman" w:hAnsiTheme="majorHAnsi" w:cs="Times New Roman"/>
          <w:b/>
          <w:sz w:val="24"/>
          <w:szCs w:val="24"/>
        </w:rPr>
        <w:t xml:space="preserve">    5.ВИЗИЯ</w:t>
      </w:r>
    </w:p>
    <w:p w:rsidR="00A7761C" w:rsidRPr="00A7761C" w:rsidRDefault="00A7761C" w:rsidP="00A7761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 xml:space="preserve">        ОУ „Христо Ботев“ ще запази своя облик и традиции. Ще продължи да се развива като училище с два етапа на основна образователна степен: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-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      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Начален етап: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val="en-US" w:eastAsia="bg-BG"/>
        </w:rPr>
        <w:t> I - IV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 клас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val="en-US" w:eastAsia="bg-BG"/>
        </w:rPr>
        <w:t>;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-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      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Прогимназиален етап –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val="en-US" w:eastAsia="bg-BG"/>
        </w:rPr>
        <w:t> V - VII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 клас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val="en-US" w:eastAsia="bg-BG"/>
        </w:rPr>
        <w:t>;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Постигането на качествен образователен процес ще бъде реализирано с помощта на висококвалифицирани педагози, които имат съвременно мислене и могат успешно да приложат стандартите на ЗПУО.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разработим съвременни програми за факултативни и избираеми форми за придобиване на компетентности в съответствие с потребностите и интересите на учениците.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приложим различни форми на обучение, с цел да отговорим на потребностите и да дадем достъп до образование, както и да предотвратим преждевременно отпадане и ранно напускане на училище.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продължим да изграждаме и модернизираме учебната и спортната база за постигане на заложените в нашата мисия приоритети.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отговорим на изискванията за създаване на приобщаващо и подкрепящо образование, като осигурим екип от висококвалифицирани специалисти – психолог, ресурсен учител, логопед.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изработим и ще се ръководим от Етичен кодекс на училищната общност.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Ще продължим да осъществяваме целодневна организация на учебния процес, като инструмент за превенция на отпадане от училище, за осигуряване на специализирана помощ при подготовката, за развиване на таланти и удовлетворяване на потребности и интереси.</w:t>
      </w:r>
    </w:p>
    <w:p w:rsidR="00A7761C" w:rsidRPr="00A7761C" w:rsidRDefault="00A7761C" w:rsidP="00A7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61C" w:rsidRPr="00A7761C" w:rsidRDefault="00A7761C" w:rsidP="00A7761C">
      <w:pPr>
        <w:shd w:val="clear" w:color="auto" w:fill="FFFFFF"/>
        <w:spacing w:after="0" w:line="242" w:lineRule="atLeast"/>
        <w:ind w:left="1230" w:right="-570" w:hanging="72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b/>
          <w:bCs/>
          <w:color w:val="2D2D2D"/>
          <w:sz w:val="24"/>
          <w:szCs w:val="24"/>
          <w:lang w:eastAsia="bg-BG"/>
        </w:rPr>
        <w:t>6.ЦЕННОСТИ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Равен достъп до качествено образование и приобщаване на всеки ученик.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lastRenderedPageBreak/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Ориентираност към интереса и към мотивацията  на ученика, към възрастовите и социални промени в живота му, както и към способността му да прилага усвоените компетентности на практика.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Равнопоставеност и недопускане на дискриминация при провеждане на предучилищното и училищното образование.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Хуманизъм и толерантност.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Съблюдаване на законността, на нормативните и училищни документи.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Съхраняване живота и здравето на учениците и на персонала.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Зачитане на правата на учениците и правата на персонала.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Етика на взаимоотношенията – толерантност, добронамереност, взаимно разбиране и цивилизован диалог.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Естетика на средата, грижа за училищната, учебна и околна среда.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Съблюдаване на общодемократичните, общокултурните и националните ценности.</w:t>
      </w:r>
    </w:p>
    <w:p w:rsidR="00A7761C" w:rsidRPr="00A7761C" w:rsidRDefault="00A7761C" w:rsidP="00A7761C">
      <w:pPr>
        <w:shd w:val="clear" w:color="auto" w:fill="FFFFFF"/>
        <w:spacing w:after="0" w:line="242" w:lineRule="atLeast"/>
        <w:ind w:right="-570" w:hanging="360"/>
        <w:jc w:val="both"/>
        <w:rPr>
          <w:rFonts w:ascii="Cambria" w:eastAsia="Times New Roman" w:hAnsi="Cambria" w:cs="Arial"/>
          <w:color w:val="2D2D2D"/>
          <w:sz w:val="21"/>
          <w:szCs w:val="21"/>
          <w:lang w:eastAsia="bg-BG"/>
        </w:rPr>
      </w:pP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</w:t>
      </w:r>
      <w:r w:rsidRPr="00A7761C">
        <w:rPr>
          <w:rFonts w:ascii="Cambria" w:eastAsia="Times New Roman" w:hAnsi="Cambria" w:cs="Times New Roman"/>
          <w:color w:val="2D2D2D"/>
          <w:sz w:val="14"/>
          <w:szCs w:val="14"/>
          <w:lang w:eastAsia="bg-BG"/>
        </w:rPr>
        <w:t>  </w:t>
      </w:r>
      <w:r w:rsidRPr="00A7761C">
        <w:rPr>
          <w:rFonts w:ascii="Cambria" w:eastAsia="Times New Roman" w:hAnsi="Cambria" w:cs="Arial"/>
          <w:color w:val="2D2D2D"/>
          <w:sz w:val="24"/>
          <w:szCs w:val="24"/>
          <w:lang w:eastAsia="bg-BG"/>
        </w:rPr>
        <w:t>Прозрачност на управлението и предвидимост на развитието на училището.</w:t>
      </w:r>
    </w:p>
    <w:p w:rsidR="00A7761C" w:rsidRPr="00A7761C" w:rsidRDefault="00A7761C" w:rsidP="00A7761C">
      <w:pPr>
        <w:spacing w:before="100" w:beforeAutospacing="1" w:after="0" w:line="240" w:lineRule="auto"/>
        <w:ind w:left="360"/>
        <w:jc w:val="both"/>
        <w:rPr>
          <w:rFonts w:asciiTheme="majorHAnsi" w:eastAsia="Times New Roman" w:hAnsiTheme="majorHAnsi" w:cs="Times New Roman"/>
          <w:b/>
          <w:sz w:val="24"/>
          <w:szCs w:val="24"/>
          <w:lang w:val="en-GB"/>
        </w:rPr>
      </w:pPr>
      <w:r w:rsidRPr="00A7761C">
        <w:rPr>
          <w:rFonts w:asciiTheme="majorHAnsi" w:eastAsia="Times New Roman" w:hAnsiTheme="majorHAnsi" w:cs="Times New Roman"/>
          <w:b/>
          <w:sz w:val="24"/>
          <w:szCs w:val="24"/>
        </w:rPr>
        <w:t>7.</w:t>
      </w:r>
      <w:r w:rsidRPr="00A7761C">
        <w:rPr>
          <w:rFonts w:asciiTheme="majorHAnsi" w:eastAsia="Times New Roman" w:hAnsiTheme="majorHAnsi" w:cs="Times New Roman"/>
          <w:b/>
          <w:sz w:val="24"/>
          <w:szCs w:val="24"/>
          <w:lang w:val="en-GB"/>
        </w:rPr>
        <w:t>ПРИНЦИПИ</w:t>
      </w:r>
    </w:p>
    <w:p w:rsidR="00A7761C" w:rsidRPr="00A7761C" w:rsidRDefault="00A7761C" w:rsidP="00A7761C">
      <w:pPr>
        <w:numPr>
          <w:ilvl w:val="1"/>
          <w:numId w:val="9"/>
        </w:numPr>
        <w:spacing w:before="120" w:after="0" w:line="240" w:lineRule="auto"/>
        <w:contextualSpacing/>
        <w:jc w:val="both"/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Законосъобразност - </w:t>
      </w:r>
      <w:r w:rsidRPr="00A7761C">
        <w:rPr>
          <w:rFonts w:ascii="Cambria" w:eastAsia="Times New Roman" w:hAnsi="Cambria" w:cs="Times New Roman"/>
          <w:sz w:val="24"/>
          <w:szCs w:val="24"/>
          <w:lang w:eastAsia="bg-BG"/>
        </w:rPr>
        <w:t>осигурява съответствие на целите и предлаганите мерки със законите и подзаконовите нормативни актове</w:t>
      </w:r>
    </w:p>
    <w:p w:rsidR="00A7761C" w:rsidRPr="00A7761C" w:rsidRDefault="00A7761C" w:rsidP="00A7761C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Всеобхватност – </w:t>
      </w:r>
      <w:r w:rsidRPr="00A7761C">
        <w:rPr>
          <w:rFonts w:ascii="Cambria" w:eastAsiaTheme="minorEastAsia" w:hAnsi="Cambria" w:cs="Times New Roman"/>
          <w:kern w:val="24"/>
          <w:sz w:val="24"/>
          <w:szCs w:val="24"/>
          <w:lang w:eastAsia="bg-BG"/>
        </w:rPr>
        <w:t>училищните политиките да бъдат подчинени на местно, регионално и национално ниво и в съответствие с политиките на ЕС.</w:t>
      </w:r>
    </w:p>
    <w:p w:rsidR="00A7761C" w:rsidRPr="00A7761C" w:rsidRDefault="00A7761C" w:rsidP="00A7761C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Прозрачност - </w:t>
      </w:r>
      <w:r w:rsidRPr="00A7761C">
        <w:rPr>
          <w:rFonts w:ascii="Cambria" w:eastAsia="Arial Unicode MS" w:hAnsi="Cambria" w:cs="Times New Roman"/>
          <w:lang w:eastAsia="bg-BG"/>
        </w:rPr>
        <w:t>всички стратегически документи  и вътрешни нормативни актове на училището да бъдат публично достъпни.</w:t>
      </w:r>
    </w:p>
    <w:p w:rsidR="00A7761C" w:rsidRPr="00A7761C" w:rsidRDefault="00A7761C" w:rsidP="00A7761C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Документиране – </w:t>
      </w:r>
      <w:r w:rsidRPr="00A7761C">
        <w:rPr>
          <w:rFonts w:ascii="Cambria" w:eastAsiaTheme="minorEastAsia" w:hAnsi="Cambria" w:cs="Times New Roman"/>
          <w:kern w:val="24"/>
          <w:sz w:val="24"/>
          <w:szCs w:val="24"/>
          <w:lang w:eastAsia="bg-BG"/>
        </w:rPr>
        <w:t>документиране на идеите, предложенията и изказванията в процеса на изготвяне на вътрешните нормативни актове и тяхното съхранение и архивиране.</w:t>
      </w:r>
    </w:p>
    <w:p w:rsidR="00A7761C" w:rsidRPr="00A7761C" w:rsidRDefault="00A7761C" w:rsidP="00A7761C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Обратна връзка – </w:t>
      </w:r>
      <w:r w:rsidRPr="00A7761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получаване на отговори и реагиране на  предложенията на участниците в комисиите и предложенията на ПС. </w:t>
      </w:r>
    </w:p>
    <w:p w:rsidR="00A7761C" w:rsidRPr="00A7761C" w:rsidRDefault="00A7761C" w:rsidP="00A7761C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 Приемственост – </w:t>
      </w:r>
      <w:r w:rsidRPr="00A7761C">
        <w:rPr>
          <w:rFonts w:ascii="Cambria" w:eastAsia="Arial Unicode MS" w:hAnsi="Cambria" w:cs="Times New Roman"/>
          <w:sz w:val="24"/>
          <w:szCs w:val="24"/>
          <w:lang w:eastAsia="bg-BG"/>
        </w:rPr>
        <w:t>новите политики, свързани с образователната реформа няма да отрекат вече поетите ангажиментите в рамките на образователната институция и стратегията няма да ги подменя с нови. Добрият опит ще бъде не само съхранен, но и ще продължи да се мултиплицира</w:t>
      </w:r>
      <w:r w:rsidRPr="00A7761C">
        <w:rPr>
          <w:rFonts w:asciiTheme="majorHAnsi" w:eastAsia="Arial Unicode MS" w:hAnsiTheme="majorHAnsi" w:cs="Times New Roman"/>
          <w:sz w:val="24"/>
          <w:szCs w:val="24"/>
          <w:lang w:eastAsia="bg-BG"/>
        </w:rPr>
        <w:t>.</w:t>
      </w:r>
    </w:p>
    <w:p w:rsidR="00FE2E80" w:rsidRPr="00532C8F" w:rsidRDefault="00A7761C" w:rsidP="00154599">
      <w:pPr>
        <w:numPr>
          <w:ilvl w:val="1"/>
          <w:numId w:val="9"/>
        </w:numPr>
        <w:spacing w:before="100" w:beforeAutospacing="1"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A7761C">
        <w:rPr>
          <w:rFonts w:ascii="Cambria" w:eastAsiaTheme="minorEastAsia" w:hAnsi="Cambria" w:cs="Times New Roman"/>
          <w:b/>
          <w:kern w:val="24"/>
          <w:sz w:val="24"/>
          <w:szCs w:val="24"/>
          <w:lang w:eastAsia="bg-BG"/>
        </w:rPr>
        <w:t xml:space="preserve">Равнопоставеност - </w:t>
      </w:r>
      <w:r w:rsidRPr="00A7761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всички заинтересовани страни трябва да имат равни възможности за участие в планирането и реализирането на дейностите по изпълнение на стратегическите и оперативни цели. </w:t>
      </w:r>
    </w:p>
    <w:p w:rsidR="00532C8F" w:rsidRDefault="00532C8F" w:rsidP="00532C8F">
      <w:pPr>
        <w:spacing w:before="100" w:beforeAutospacing="1"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1B51A8" w:rsidRDefault="001B51A8" w:rsidP="001D3B6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1D3B66" w:rsidRDefault="001D3B66" w:rsidP="001D3B66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:rsidR="001D3B66" w:rsidRPr="001D3B66" w:rsidRDefault="001D3B66" w:rsidP="001D3B66">
      <w:pPr>
        <w:spacing w:after="0" w:line="240" w:lineRule="auto"/>
        <w:jc w:val="both"/>
        <w:rPr>
          <w:rFonts w:ascii="Helvetica" w:eastAsia="Times New Roman" w:hAnsi="Helvetica" w:cs="Helvetica"/>
          <w:color w:val="635C47"/>
          <w:sz w:val="28"/>
          <w:szCs w:val="28"/>
          <w:lang w:eastAsia="bg-BG"/>
        </w:rPr>
      </w:pPr>
    </w:p>
    <w:p w:rsidR="001B51A8" w:rsidRDefault="001B51A8" w:rsidP="007805C1">
      <w:pPr>
        <w:shd w:val="clear" w:color="auto" w:fill="FFFFFF"/>
        <w:spacing w:after="0" w:line="242" w:lineRule="atLeast"/>
        <w:ind w:left="1230" w:hanging="720"/>
        <w:jc w:val="both"/>
        <w:rPr>
          <w:rFonts w:ascii="Arial" w:eastAsia="Times New Roman" w:hAnsi="Arial" w:cs="Arial"/>
          <w:b/>
          <w:bCs/>
          <w:color w:val="2D2D2D"/>
          <w:sz w:val="26"/>
          <w:szCs w:val="26"/>
          <w:lang w:val="en-US" w:eastAsia="bg-BG"/>
        </w:rPr>
      </w:pPr>
    </w:p>
    <w:p w:rsidR="001B51A8" w:rsidRDefault="001B51A8" w:rsidP="007805C1">
      <w:pPr>
        <w:shd w:val="clear" w:color="auto" w:fill="FFFFFF"/>
        <w:spacing w:after="0" w:line="242" w:lineRule="atLeast"/>
        <w:ind w:left="1230" w:hanging="720"/>
        <w:jc w:val="both"/>
        <w:rPr>
          <w:rFonts w:ascii="Arial" w:eastAsia="Times New Roman" w:hAnsi="Arial" w:cs="Arial"/>
          <w:b/>
          <w:bCs/>
          <w:color w:val="2D2D2D"/>
          <w:sz w:val="26"/>
          <w:szCs w:val="26"/>
          <w:lang w:val="en-US" w:eastAsia="bg-BG"/>
        </w:rPr>
      </w:pPr>
    </w:p>
    <w:p w:rsidR="001B51A8" w:rsidRDefault="001B51A8" w:rsidP="007805C1">
      <w:pPr>
        <w:shd w:val="clear" w:color="auto" w:fill="FFFFFF"/>
        <w:spacing w:after="0" w:line="242" w:lineRule="atLeast"/>
        <w:ind w:left="1230" w:hanging="720"/>
        <w:jc w:val="both"/>
        <w:rPr>
          <w:rFonts w:ascii="Arial" w:eastAsia="Times New Roman" w:hAnsi="Arial" w:cs="Arial"/>
          <w:b/>
          <w:bCs/>
          <w:color w:val="2D2D2D"/>
          <w:sz w:val="26"/>
          <w:szCs w:val="26"/>
          <w:lang w:val="en-US" w:eastAsia="bg-BG"/>
        </w:rPr>
      </w:pPr>
    </w:p>
    <w:p w:rsidR="007805C1" w:rsidRPr="00A7761C" w:rsidRDefault="0083167E" w:rsidP="007805C1">
      <w:pPr>
        <w:shd w:val="clear" w:color="auto" w:fill="FFFFFF"/>
        <w:spacing w:after="0" w:line="242" w:lineRule="atLeast"/>
        <w:ind w:left="1230" w:hanging="720"/>
        <w:jc w:val="both"/>
        <w:rPr>
          <w:rFonts w:ascii="Cambria" w:eastAsia="Times New Roman" w:hAnsi="Cambria" w:cs="Arial"/>
          <w:color w:val="2D2D2D"/>
          <w:sz w:val="26"/>
          <w:szCs w:val="26"/>
          <w:lang w:eastAsia="bg-BG"/>
        </w:rPr>
      </w:pPr>
      <w:r>
        <w:rPr>
          <w:rFonts w:ascii="Arial" w:eastAsia="Times New Roman" w:hAnsi="Arial" w:cs="Arial"/>
          <w:b/>
          <w:bCs/>
          <w:color w:val="2D2D2D"/>
          <w:sz w:val="26"/>
          <w:szCs w:val="26"/>
          <w:lang w:val="en-US" w:eastAsia="bg-BG"/>
        </w:rPr>
        <w:lastRenderedPageBreak/>
        <w:t>8</w:t>
      </w:r>
      <w:r w:rsidR="007805C1" w:rsidRPr="00A7761C">
        <w:rPr>
          <w:rFonts w:ascii="Cambria" w:eastAsia="Times New Roman" w:hAnsi="Cambria" w:cs="Arial"/>
          <w:b/>
          <w:bCs/>
          <w:color w:val="2D2D2D"/>
          <w:sz w:val="26"/>
          <w:szCs w:val="26"/>
          <w:lang w:val="en-US" w:eastAsia="bg-BG"/>
        </w:rPr>
        <w:t>.</w:t>
      </w:r>
      <w:r w:rsidR="007805C1"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val="en-US" w:eastAsia="bg-BG"/>
        </w:rPr>
        <w:t>       </w:t>
      </w:r>
      <w:r w:rsidR="007805C1" w:rsidRPr="00A7761C">
        <w:rPr>
          <w:rFonts w:ascii="Cambria" w:eastAsia="Times New Roman" w:hAnsi="Cambria" w:cs="Arial"/>
          <w:b/>
          <w:bCs/>
          <w:color w:val="2D2D2D"/>
          <w:sz w:val="26"/>
          <w:szCs w:val="26"/>
          <w:lang w:eastAsia="bg-BG"/>
        </w:rPr>
        <w:t>ПЛАН ЗА ДЕЙСТВИЕ И ФИНАНСИРАНЕ.</w:t>
      </w:r>
    </w:p>
    <w:p w:rsidR="007805C1" w:rsidRPr="00A7761C" w:rsidRDefault="007805C1" w:rsidP="007805C1">
      <w:pPr>
        <w:shd w:val="clear" w:color="auto" w:fill="FFFFFF"/>
        <w:spacing w:after="0" w:line="242" w:lineRule="atLeast"/>
        <w:ind w:left="510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 </w:t>
      </w:r>
    </w:p>
    <w:p w:rsidR="007805C1" w:rsidRPr="00A7761C" w:rsidRDefault="007805C1" w:rsidP="007805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 </w:t>
      </w:r>
    </w:p>
    <w:p w:rsidR="007805C1" w:rsidRPr="00A7761C" w:rsidRDefault="007805C1" w:rsidP="007805C1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u w:val="single"/>
          <w:lang w:eastAsia="bg-BG"/>
        </w:rPr>
        <w:t>Оперативна цел 1</w:t>
      </w:r>
      <w:r w:rsidRPr="00A7761C"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  <w:t>: </w:t>
      </w:r>
      <w:r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Разработване и утвърждаване на единна и непротиворечива система за ефективно управление на институцията.</w:t>
      </w:r>
    </w:p>
    <w:p w:rsidR="007805C1" w:rsidRPr="00A7761C" w:rsidRDefault="007805C1" w:rsidP="007805C1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D2D2D"/>
          <w:sz w:val="26"/>
          <w:szCs w:val="26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6"/>
          <w:szCs w:val="26"/>
          <w:lang w:eastAsia="bg-BG"/>
        </w:rPr>
        <w:t> </w:t>
      </w:r>
    </w:p>
    <w:tbl>
      <w:tblPr>
        <w:tblW w:w="17189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1984"/>
        <w:gridCol w:w="1701"/>
        <w:gridCol w:w="142"/>
        <w:gridCol w:w="20"/>
        <w:gridCol w:w="1398"/>
        <w:gridCol w:w="141"/>
        <w:gridCol w:w="1134"/>
        <w:gridCol w:w="20"/>
        <w:gridCol w:w="689"/>
        <w:gridCol w:w="26"/>
        <w:gridCol w:w="2137"/>
      </w:tblGrid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Дейности/мероприятия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Срок за изпълнение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Отговорни лица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Финансиране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Индикатори за изпълнение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Приоритетно направление 1: Изграждане на система за осигуряване качество на образованието.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Актуализиране на училищните нормативни документи в съответствие с националната и европейска нормативна база - цялостна концепция за провеждане на образователния процес /стратегия, правилници, планове, програми и др. 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Разработени актуални вътрешни нормативни актове: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Осигуряване на необходимите човешки, материални ресурси и санитарно-хигиенни условия за учебната година / учебници, ЗУД, подбор на кадри, обновяване и оборудване на класни сати и кабинети, ремонти и др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Осигурени условия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Утвърждаване на УУП, който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осигурява разширена и допълнителна подготовка за преодоляване на дефицити и съобразно интересите и потребностите на учениците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Съгласувани УУП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Издадена заповед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Изпращане на сведение</w:t>
            </w:r>
            <w:r w:rsidR="0083167E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за приетите в І клас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ученици до общинските</w:t>
            </w:r>
            <w:r w:rsidR="0083167E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администрации по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местоживеенето им.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Изпратени сведения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Изработване на програма за ЦОУД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Изготвена програма. Издадена заповед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Определяне на групите</w:t>
            </w:r>
          </w:p>
          <w:p w:rsidR="00AD02A2" w:rsidRPr="007E527E" w:rsidRDefault="007E527E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за  ИУЧ,ФУЧ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Определени групи за ИУЧ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Обобщена справка за доставените учебници за І-VІІ клас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за учебната 2020/2021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Справка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Изготвяне на Списък  -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Образец 1 за учебната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2020/2021 г.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Утвърден Списък Образец 1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Изграждане на училищни екипи за: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подкрепа за личностно развитие на детето и ученика; изграждане на позитивен организационен климат; утвърждаване на позитивна дисциплина; развитие на училищната общност.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Екипи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Изградени училищни екипи.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Планове на ЕКК и Комисиите по дейности.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Предс. ЕКК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Предс. 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Изработване на график за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контролни и класни работи, график за консултации по предмети, график за дежурство на учителите, график за работа с родители.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М. Габерова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Издадена заповед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Среща с родителите на учениците, които ще се обучават  в І клас и в V клас.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Организирана родителска среща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Запознаване на ученици и родители с Правилника на училището и Закона</w:t>
            </w:r>
            <w:r w:rsidR="007E527E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за закрила  на детето-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род.- учителска среща, избор на Обществен съвет.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Организирана родителска среща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Създаване на Координационен съвет, отговарящ за планиране, проследяване и координиране на усилията за справяне с насилието и тормоза.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Издадена заповед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  <w:t>Приоритетно направление 2: </w:t>
            </w:r>
            <w:r w:rsidRPr="00A7761C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bg-BG"/>
              </w:rPr>
              <w:t>Безопасни условия на обучение и труд.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Определяне на безопасния път до дома съвместно с родителите /I, II класове/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Декларации от родител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Изработване на План за действие при бедствия и аварии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Изработен план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AD02A2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</w:t>
            </w:r>
            <w:r w:rsidR="007805C1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Провеждане на тренировъчно занятие за евакуация от сградата на училището във връзка с изпълнение на План за действие при бедствия и аварии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По график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Проведено занатие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Изработване на правилник за БУОВТ. Утвърждаване на инструкции и инструктажи 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Изработен правилник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Провеждане на инструктажи на ученици, учители, служители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Проведени инструктажи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Осигуряване на условия за строг пропуск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в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ателен режим,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видеонаблюдение, СОТ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Осигурени условия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AD02A2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7</w:t>
            </w:r>
            <w:r w:rsidR="007805C1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Провеждане на „петминутка“ по БДП в края на всеки последен час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D42FCA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Учители по предмети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Проведени дейности</w:t>
            </w:r>
          </w:p>
        </w:tc>
      </w:tr>
      <w:tr w:rsidR="00154599" w:rsidRPr="00A7761C" w:rsidTr="00154599">
        <w:trPr>
          <w:gridAfter w:val="2"/>
          <w:wAfter w:w="2163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bg-BG"/>
              </w:rPr>
              <w:t>Осъществяване на съвместни дейности и занятия със служители на МВР</w:t>
            </w: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По график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Проведени дейности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t>Приоритетно направление 3</w:t>
            </w: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lang w:eastAsia="bg-BG"/>
              </w:rPr>
              <w:t>: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bdr w:val="none" w:sz="0" w:space="0" w:color="auto" w:frame="1"/>
                <w:lang w:val="en-GB" w:eastAsia="bg-BG"/>
              </w:rPr>
              <w:t>Инвестиции в образованието или финансови ресурси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.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bg-BG"/>
              </w:rPr>
              <w:t>У</w:t>
            </w: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val="en-GB" w:eastAsia="bg-BG"/>
              </w:rPr>
              <w:t>частие в национални, европейски и други международни програми и проекти. Разработване на училищни проекти.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Осигурени помещения;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обучения;</w:t>
            </w:r>
          </w:p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техника;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Проект BG05M2OP001-2.011-0001 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Средства от проекта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Участие в проекта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bg-BG"/>
              </w:rPr>
              <w:t>Изграждане на училищни екипи за разработване на проекти.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AD02A2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bg-BG"/>
              </w:rPr>
              <w:t>Изградени  училищни екипи за разработване на проекти.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Счетоводна политика на образователната институция.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счетоводител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Разработени и актуализирани документи по СФУК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Разработване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на процедури по постъпване и разходване на извънбюджетни средства от дарения, спонсорство, проекти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Счетоводител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Осигуряване на прозрачност на финансовото управление чрез публикуване на плана и отчета по бюджета, процедурите за обществени поръчки и др. финансови документи на интернет страницата на институцията;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Публикувани на сайта на училището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Привличане на алтернативни източници за финансиране от работа по проекти и програми, дарения, спонсорство и др..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t>Приоритетно направление 4: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bg-BG"/>
              </w:rPr>
              <w:t>Квалификация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Планиране, реализиране и документиране на квалификационната дейност за педагогическите специалисти на вътрешно училищно ниво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Планирана, реализирана и документирана вътрешна квалификация.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Изграждане на система за външна квалификация. /От регистъра/.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Директор,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Изградена система за външна квалификация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Изграждане на механизъм за популяризиране на добрия педагогически опит.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Споделяне на резултатите от обученията и мултиплициране на добрия педагогически опит чрез различни форми на изява:</w:t>
            </w:r>
          </w:p>
          <w:p w:rsidR="00AD02A2" w:rsidRPr="00A7761C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- Дни на отворени врати, събирания на ПЕКК и др.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-Осигуряване на условия за популяризиране на добрия педагогически опит.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A7761C" w:rsidRDefault="00AD02A2" w:rsidP="00AD02A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Изграден механизъм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lastRenderedPageBreak/>
              <w:t>Приоритетно направление 5: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bg-BG"/>
              </w:rPr>
              <w:t>Нормативно осигуряване.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05678B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Изградена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вътрешна система за движение на информацията и документите в училище.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val="en-GB" w:eastAsia="bg-BG"/>
              </w:rPr>
              <w:t>Осигуряване изрядно водене на училищната документация.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eastAsia="bg-BG"/>
              </w:rPr>
              <w:t>Съхраняване и архивиране на училищната документация съгласно изискванията на Стандарта за информация и документите.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05678B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05678B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Педаг. специалисти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Наличие на училищен архив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805C1" w:rsidRPr="00A7761C" w:rsidTr="00154599">
        <w:trPr>
          <w:gridAfter w:val="2"/>
          <w:wAfter w:w="2163" w:type="dxa"/>
        </w:trPr>
        <w:tc>
          <w:tcPr>
            <w:tcW w:w="1502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t>Приоритетно направление 6: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bg-BG"/>
              </w:rPr>
              <w:t>Училищен персонал.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Разработване на правила и/или процедури при назначаване и съкращаване на персонала.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Разработени правила и процедури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Вътрешни указания за осъществяване на подбор при назначаване на персонал, за сключване и прекратяване на трудови договори.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Утвърдени вътрешни правила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Изработване на критерии за оценка труда на учителите и служителите.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Комисия по качество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78B" w:rsidRPr="00A7761C" w:rsidRDefault="0005678B" w:rsidP="0005678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Израбо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тени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 критерии за оценка труда на учителите и служителите.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Адаптирани критерии за диференцирано заплащане труда на педагогическите специалисти съгласно стандарта за финансиране.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Началото на годината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Комисия по качество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Счетоводител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Наличие на карти за ДТВ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Разработване на политика за насърчаване и ресурсно подпомагане на извънкласни дейности.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Разработ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ена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 политика за насърчаване и ресурсно подпомагане на извънкласни дейности.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Вътрешни политики за допълнителна подкрепа и ресурсно подпомагане.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Разработена програма за подкрепа за личностно развитие</w:t>
            </w:r>
          </w:p>
        </w:tc>
      </w:tr>
      <w:tr w:rsidR="00154599" w:rsidRPr="00A7761C" w:rsidTr="00154599">
        <w:trPr>
          <w:gridAfter w:val="1"/>
          <w:wAfter w:w="2137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Регламентиране съвместната дейност на ръководството, класните ръководители и екипите за подкрепа на личностното развитие.</w:t>
            </w:r>
          </w:p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Координатор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Проведени съвместни дейности</w:t>
            </w:r>
          </w:p>
        </w:tc>
      </w:tr>
      <w:tr w:rsidR="00154599" w:rsidRPr="00A7761C" w:rsidTr="0015459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7805C1" w:rsidRPr="00A7761C" w:rsidRDefault="007805C1" w:rsidP="007805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p w:rsidR="007805C1" w:rsidRPr="00A7761C" w:rsidRDefault="007805C1" w:rsidP="007805C1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2: </w:t>
      </w: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eastAsia="bg-BG"/>
        </w:rPr>
        <w:t>Изграждане на училищен механизъм за адаптиране на ученика към училищната среда.</w:t>
      </w:r>
    </w:p>
    <w:p w:rsidR="007805C1" w:rsidRPr="00A7761C" w:rsidRDefault="00AD02A2" w:rsidP="00AD02A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669"/>
        <w:gridCol w:w="1662"/>
        <w:gridCol w:w="1598"/>
        <w:gridCol w:w="1985"/>
        <w:gridCol w:w="2835"/>
        <w:gridCol w:w="1661"/>
      </w:tblGrid>
      <w:tr w:rsidR="0083167E" w:rsidRPr="00A7761C" w:rsidTr="00154599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Дейности/мероприятия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Срок за изпълнение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Отговорни лица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Контрол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Индикатори за изпълнение</w:t>
            </w:r>
          </w:p>
        </w:tc>
      </w:tr>
      <w:tr w:rsidR="007805C1" w:rsidRPr="00A7761C" w:rsidTr="00154599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t>Приоритетно направление 1: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bdr w:val="none" w:sz="0" w:space="0" w:color="auto" w:frame="1"/>
                <w:lang w:val="en-GB" w:eastAsia="bg-BG"/>
              </w:rPr>
              <w:t>Индивидуална среда на ученика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Изграждане на система за  сигурност с видео-наблюдение.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Пропуск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ателен режим, осъществяван от помощния персонал.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Изграден пропусквателен режим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 xml:space="preserve">Изграждане на механизъм с мерки и дейности за адаптиране на ученика към училищната среда, условията в различните форми на обучение, сътрудничество на училището с 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lastRenderedPageBreak/>
              <w:t>външни партньори и осигуряване на условия за интерактивно учене.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Изграден механизъм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Изграждане на ГУТ и училищни Комисии по безопасност и здраве и уреждане в правилник правата и задълженията им за предотвратяване на рисковете.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ГУТ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Изгра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дени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 ГУТ и училищни Комисии по безопасност и здраве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Регламентиране условията за записване и промяна на формите на обучение за конкретната учебна година съгласно Стандарта за организация на дейностите чл.31, ал.3 и чл.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12, 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ал.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2 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на ЗПУО.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Регламентирани условия за записване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262626"/>
                <w:sz w:val="24"/>
                <w:szCs w:val="24"/>
                <w:lang w:val="en-GB" w:eastAsia="bg-BG"/>
              </w:rPr>
              <w:t>Създаване на възможности за включване на ученика в различни училищни общности в зависимост от неговите интереси и потребности и тяхната реализация.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Организирани занимания по интереси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Създадени възможности за приложение на ИКТ в образователния процес по всички учебни предмети.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Създадени условия за използване на интерактивни техники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, проектори,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бели дъски, екрани, лаптопи;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средства за софтуер.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Създаване условия за г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ъвкаво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прилагане, изменяне и адаптиране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методите на преподаване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на учителите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 xml:space="preserve">с оглед 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lastRenderedPageBreak/>
              <w:t>постигането на по- добри резултат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 от ученето.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 xml:space="preserve">Създадени условия за използване на 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lastRenderedPageBreak/>
              <w:t>интерактивни техники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, проектори,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бели дъски, екрани, лаптопи;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средства за софтуер.</w:t>
            </w:r>
          </w:p>
        </w:tc>
      </w:tr>
      <w:tr w:rsidR="007805C1" w:rsidRPr="00A7761C" w:rsidTr="00154599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4"/>
                <w:szCs w:val="24"/>
                <w:u w:val="single"/>
                <w:lang w:eastAsia="bg-BG"/>
              </w:rPr>
              <w:lastRenderedPageBreak/>
              <w:t>Приоритетно направление 2: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 w:eastAsia="bg-BG"/>
              </w:rPr>
              <w:t>Изграждане на училището като социално място.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Изготвяне на програма за осигуряване на равен достъп до образование.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Координатор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Изготв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ена 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програма за осигуряване на равен достъп до образование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Предприемане на мерки за социализиране на ученици, за които българският език не е майчин.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Пед. съветник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Програма за превенция на ранното напускане от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УК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Приета програма за превенция на ранното напускане от училище.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ru-RU" w:eastAsia="bg-BG"/>
              </w:rPr>
              <w:t>Участие в различни форми на сътрудничество с НПО, РУО, ОЗД и др.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Реализирани дейности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Актуализиране на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 механизъм  за превенция на тормоза и насилието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 и 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алгоритъм за прилагане на механизма в училище.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Актуализиран механизъм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Издадена заповед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lastRenderedPageBreak/>
              <w:t>6.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Запознаване на учениците и родителите с формите на насилие и с Механизъм за противодействие тормоза и насилието в училище.</w:t>
            </w:r>
          </w:p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Декларации от родители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Определяне на координационен съвет със заповед на директора</w:t>
            </w:r>
          </w:p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Не изисква средства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Издадена заповед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Извършване на оценка на тормоза „оценка на ситуацията“ между децата и учениците в училището.</w:t>
            </w:r>
          </w:p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Проведени анкети Анализ на ситуацията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AD02A2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9</w:t>
            </w:r>
            <w:r w:rsidR="00E66D66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Реализиране на дейности за превенция и разрешаване на конфликти.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В нач.на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Реализирани дейности</w:t>
            </w:r>
          </w:p>
        </w:tc>
      </w:tr>
      <w:tr w:rsidR="0083167E" w:rsidRPr="00A7761C" w:rsidTr="00154599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AD02A2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10</w:t>
            </w:r>
            <w:r w:rsidR="00E66D66"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Поддържане на и</w:t>
            </w: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нтернет страница на училището.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През уч.година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ПС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>Делегиран бюджет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4"/>
                <w:szCs w:val="24"/>
                <w:lang w:val="en-GB" w:eastAsia="bg-BG"/>
              </w:rPr>
              <w:t>Интернет страница на училището.</w:t>
            </w:r>
          </w:p>
        </w:tc>
      </w:tr>
    </w:tbl>
    <w:p w:rsidR="00ED5A06" w:rsidRPr="00A7761C" w:rsidRDefault="007805C1" w:rsidP="007805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  <w:bookmarkStart w:id="0" w:name="_GoBack"/>
      <w:bookmarkEnd w:id="0"/>
    </w:p>
    <w:p w:rsidR="00ED5A06" w:rsidRPr="00A7761C" w:rsidRDefault="00ED5A06" w:rsidP="007805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</w:p>
    <w:p w:rsidR="007805C1" w:rsidRPr="00A7761C" w:rsidRDefault="007805C1" w:rsidP="007805C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p w:rsidR="007805C1" w:rsidRPr="00A7761C" w:rsidRDefault="007805C1" w:rsidP="007805C1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3</w:t>
      </w: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eastAsia="bg-BG"/>
        </w:rPr>
        <w:t>: Управление на образователния процес чрез внедряване на ефективна система за обучение и учене, ориентирана към мислене.</w:t>
      </w:r>
    </w:p>
    <w:p w:rsidR="007805C1" w:rsidRPr="00A7761C" w:rsidRDefault="007805C1" w:rsidP="00A7761C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  <w:t> </w:t>
      </w:r>
    </w:p>
    <w:tbl>
      <w:tblPr>
        <w:tblW w:w="14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41"/>
        <w:gridCol w:w="1417"/>
        <w:gridCol w:w="1418"/>
        <w:gridCol w:w="1091"/>
        <w:gridCol w:w="893"/>
        <w:gridCol w:w="20"/>
        <w:gridCol w:w="67"/>
        <w:gridCol w:w="1436"/>
        <w:gridCol w:w="823"/>
      </w:tblGrid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№</w:t>
            </w:r>
          </w:p>
        </w:tc>
        <w:tc>
          <w:tcPr>
            <w:tcW w:w="6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Дейности/мероприятия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Срок за изпълнение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Отговорни лица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Контрол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 xml:space="preserve">Индикатори за 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lastRenderedPageBreak/>
              <w:t>изпълнение</w:t>
            </w:r>
          </w:p>
        </w:tc>
      </w:tr>
      <w:tr w:rsidR="007805C1" w:rsidRPr="00A7761C" w:rsidTr="00ED5A0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lastRenderedPageBreak/>
              <w:t>Приоритетно направление 1: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Учебна дейност.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bg-BG"/>
              </w:rPr>
              <w:t>Разработване  на дидактичен план на учебния материал, съобразен с ДОС и учебния план на училището.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Предварително планиране целите на урока, ясно формулиране и правилно обосноваване.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специалисти,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наставници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Разработени дидактични планове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shd w:val="clear" w:color="auto" w:fill="FFFFFF"/>
                <w:lang w:val="en-GB" w:eastAsia="bg-BG"/>
              </w:rPr>
              <w:t>Гъвкава промяна на годишното и урочното планиране  при необходимост.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При необходимост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Предвиждане на </w:t>
            </w: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val="en-GB" w:eastAsia="bg-BG"/>
              </w:rPr>
              <w:t>мерки за диференциран и индивидуализиран подход с нуждаещи се от подкрепа ученици в урочните планове.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Реализирани мерки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Провеждане на редовни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консултации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Провеждане на допълнителни консултации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консултации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Планиране и използване на ИКТ в урока.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Използване на ИКТ в уроците.</w:t>
            </w:r>
          </w:p>
        </w:tc>
      </w:tr>
      <w:tr w:rsidR="007805C1" w:rsidRPr="00A7761C" w:rsidTr="00ED5A0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2: 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Оценяване и самооценяване.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7E527E">
        <w:trPr>
          <w:gridAfter w:val="1"/>
          <w:wAfter w:w="823" w:type="dxa"/>
          <w:trHeight w:val="12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Използване на разнообразни форми за проверка и оценка на ученици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Използва ефективно интеракти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вни методи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shd w:val="clear" w:color="auto" w:fill="FFFFFF"/>
                <w:lang w:val="en-GB" w:eastAsia="bg-BG"/>
              </w:rPr>
              <w:t>Изготвяне на график за датите за контролни и класните работи предварителното му оповестяване на учениците и на родителите.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В нач.на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Издадена заповед за утвърждаване.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График, поставен на информационното табло и качен на сайта на училището.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Изграждане на система за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 визуализира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не на резултатите от НВО на училищно равнище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 във вид, който е удобен за анализи и обработка с цел разработване на политики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за подобряване на резултатите.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Месец май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Месец юни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Изградена система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Осъществяване на перманентен контрол за р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итмичност на оценяването -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съгласно чл. 11 от Наредбата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за оценяване на резултатите от обучението на учениците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Констативни протоколи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Установяване на входното равнище </w:t>
            </w: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val="en-GB" w:eastAsia="bg-BG"/>
              </w:rPr>
              <w:t>на учениците по учебните предмети, които са изучавали през предходната година в задължителните учебни часове, в триседмичен срок от началото на учебната година чрез текущо изпитване.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Наличие на качествени и количеств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ени анализи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val="en-GB" w:eastAsia="bg-BG"/>
              </w:rPr>
              <w:t>Установяване на дефицитите от входното равнище и  предприемане на мерки за преодоляването им.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Наличие на количествени и качествени анализи по учебни предмети.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Изградени умения за самооценка.</w:t>
            </w:r>
          </w:p>
        </w:tc>
      </w:tr>
      <w:tr w:rsidR="007805C1" w:rsidRPr="00A7761C" w:rsidTr="00ED5A0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3: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Изграждане на позитивни в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заимоотношения</w:t>
            </w:r>
          </w:p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 ученик-учител; ученик-учени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к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US" w:eastAsia="bg-BG"/>
              </w:rPr>
              <w:t>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Изграждане на взаимоотношения на партньорство между учителите и учениците.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Изградени взаимоотношения на партньорство между учителите и учениците.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val="ru-RU" w:eastAsia="bg-BG"/>
              </w:rPr>
              <w:t>Изграждане на политики за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подкрепа за личностно развитие на детето и ученика;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-изграждане на позитивен организационен климат;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-утвърждаване на позитивна дисциплина;</w:t>
            </w:r>
          </w:p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-развитие на училищната общност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съветник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 xml:space="preserve">Педагогически 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Изградени политики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val="ru-RU" w:eastAsia="bg-BG"/>
              </w:rPr>
              <w:t>Актуализиране на възпитателна стратегия на училището.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01-03.2021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 ПС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Актуализирана стратегия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Нач. на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Учители по предмети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Проведена диагностика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Изграждане на умения за работа в екип в паралелката.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A7761C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Пед. Спец.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Изградени умения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Установяване на позитивна атмосфера в паралелките.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съветник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Изградена позитивна атмосфера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Планиране и реализация на дейности по: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-осигуряване на обучение и възпитание  в здравословна, безопасна и сигурна среда;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-зачитане на учениците като активни участници в образователния процес;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-получаване на информация относно обучението, възпитанието, правата и задълженията на учениците;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-осигуряване на обща и допълнителна подкрепа за личностно развитие на учениците;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-осигуряване на индивидуално консултиране по проблеми, свързани с тяхното поведение и взаимоотношенията с връстници, родители и учители;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lastRenderedPageBreak/>
              <w:t>-осигуряване на условия за участие в проектни дейности за формиране на знания, умения и нагласи за здравословен начин на живот;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-екологично възпитание чрез проектни дейности, хепънинги,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По планове на комисии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съветник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Поощряване с морални и материални награди при показани високи постижения в областта на науката, изкуството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Наградени ученици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9.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Участие в ритуалите на училищния живот чрез предложения и дейности, свързани с училищните традиции и изграждане на новата визия на училището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7805C1" w:rsidRPr="00A7761C" w:rsidTr="00ED5A0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4: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Повишаване р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езултати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en-GB" w:eastAsia="bg-BG"/>
              </w:rPr>
              <w:t>те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 от обучението. 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Подготовка на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учениците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 за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успешно пол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агане на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 изпитите от НВО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Организиране на допълнително обучение по време на лятната ваканция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Перманентно консултиране на учениците, полагащи поправителен изпит и изготвяне на програми за допълнителна работа по учебни предмети.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График за консултации</w:t>
            </w:r>
          </w:p>
        </w:tc>
      </w:tr>
      <w:tr w:rsidR="00ED5A06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4.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Преустановяване на индивидуалната учебна програма и продължанаване на обучението по общата при постигане изискванията на учебната програм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При постигане на резултати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7805C1" w:rsidRPr="00A7761C" w:rsidTr="00ED5A06">
        <w:trPr>
          <w:gridAfter w:val="1"/>
          <w:wAfter w:w="823" w:type="dxa"/>
        </w:trPr>
        <w:tc>
          <w:tcPr>
            <w:tcW w:w="1398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5: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Надграждане на знания и умения.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Организиране на състезания, конкурси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D66" w:rsidRPr="00A7761C" w:rsidRDefault="00E66D66" w:rsidP="00E66D66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състезания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Провеждане на есенен спортен празник.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29.10.2020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Г.Кадир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състезания</w:t>
            </w:r>
          </w:p>
        </w:tc>
      </w:tr>
      <w:tr w:rsidR="0083167E" w:rsidRPr="00A7761C" w:rsidTr="00ED5A06">
        <w:trPr>
          <w:gridAfter w:val="1"/>
          <w:wAfter w:w="823" w:type="dxa"/>
          <w:trHeight w:val="4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E66D66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Националните празници – 3.ІІІ.;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Март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4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Денят на народните будители- 1.ХІ.;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Ноември 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5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24 май – Ден на българската азбука и култура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Май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6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Откриване на учебната година – 15.ІХ.;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Септември 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5.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Празник на буквите;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Март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Кл.р-л 1 кл.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6.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Празници, обичаи и обреди в зимния и пролетен народен календар;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По график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7.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Първи май – „Ден   на труда“ , „Ден на мама“, „Ден на Европа“;       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Май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8.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Ден на детето</w:t>
            </w:r>
            <w:r w:rsidR="00E66D66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 xml:space="preserve"> – 1.VІ.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Юни, април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9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Патронен празник на училището /неучебен ден – 2 юни/;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Юни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10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Планиране и реализация на дейности, мотивиращи  учениците за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усвояване на допълнителни знания и умения –  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US" w:eastAsia="bg-BG"/>
              </w:rPr>
              <w:t>“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Седмица на четенето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US" w:eastAsia="bg-BG"/>
              </w:rPr>
              <w:t>;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US" w:eastAsia="bg-BG"/>
              </w:rPr>
              <w:t>“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Седмица на предприемачеството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US" w:eastAsia="bg-BG"/>
              </w:rPr>
              <w:t>”</w:t>
            </w:r>
          </w:p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en-GB"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10.2020 г.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11.2020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11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Организиране на „Ден по БДП“ с мероприятия след училище, като викторини, състезания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Май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Организирани мероприятия</w:t>
            </w:r>
          </w:p>
        </w:tc>
      </w:tr>
      <w:tr w:rsidR="0083167E" w:rsidRPr="00A7761C" w:rsidTr="00ED5A06">
        <w:trPr>
          <w:gridAfter w:val="1"/>
          <w:wAfter w:w="823" w:type="dxa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B0139D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12</w:t>
            </w:r>
            <w:r w:rsidR="007805C1"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Провеждане на лекция с лице от КАТ на тема, свързана с БДП.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Януари 2021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Комисия по БДП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</w:t>
            </w: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а средства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Организирани мероприятия</w:t>
            </w:r>
          </w:p>
        </w:tc>
      </w:tr>
      <w:tr w:rsidR="00ED5A06" w:rsidRPr="00A7761C" w:rsidTr="00ED5A0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A7761C" w:rsidRDefault="007805C1" w:rsidP="007805C1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</w:tr>
    </w:tbl>
    <w:p w:rsidR="007805C1" w:rsidRPr="00A7761C" w:rsidRDefault="007805C1" w:rsidP="00A7761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</w:p>
    <w:p w:rsidR="007805C1" w:rsidRPr="00A7761C" w:rsidRDefault="007805C1" w:rsidP="007805C1">
      <w:pPr>
        <w:shd w:val="clear" w:color="auto" w:fill="FFFFFF"/>
        <w:spacing w:after="0" w:line="315" w:lineRule="atLeast"/>
        <w:ind w:right="-570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4</w:t>
      </w: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eastAsia="bg-BG"/>
        </w:rPr>
        <w:t>: Изграждане на училищни политики за възпитание и социализация на учениците.</w:t>
      </w:r>
    </w:p>
    <w:p w:rsidR="007805C1" w:rsidRPr="00A7761C" w:rsidRDefault="007805C1" w:rsidP="007805C1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2D2D2D"/>
          <w:sz w:val="24"/>
          <w:szCs w:val="24"/>
          <w:lang w:eastAsia="bg-BG"/>
        </w:rPr>
      </w:pPr>
      <w:r w:rsidRPr="00A7761C">
        <w:rPr>
          <w:rFonts w:ascii="Cambria" w:eastAsia="Times New Roman" w:hAnsi="Cambria" w:cs="Times New Roman"/>
          <w:b/>
          <w:bCs/>
          <w:color w:val="2D2D2D"/>
          <w:sz w:val="24"/>
          <w:szCs w:val="24"/>
          <w:lang w:val="en-US" w:eastAsia="bg-BG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5438"/>
        <w:gridCol w:w="2114"/>
        <w:gridCol w:w="2243"/>
        <w:gridCol w:w="1393"/>
        <w:gridCol w:w="96"/>
        <w:gridCol w:w="2089"/>
      </w:tblGrid>
      <w:tr w:rsidR="0083167E" w:rsidRPr="00A7761C" w:rsidTr="00AD02A2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№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Дейности/мероприятия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Срок за изпълнение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Отговорни лица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Контрол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Индикатори за изпълнение</w:t>
            </w:r>
          </w:p>
        </w:tc>
      </w:tr>
      <w:tr w:rsidR="007805C1" w:rsidRPr="00A7761C" w:rsidTr="00B0139D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A7761C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1: </w:t>
            </w: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bg-BG"/>
              </w:rPr>
              <w:t>Реализация на политики и мерки, свързани с възпитанието и социализацията на децата.</w:t>
            </w:r>
          </w:p>
          <w:p w:rsidR="007805C1" w:rsidRPr="00A7761C" w:rsidRDefault="007805C1" w:rsidP="007805C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eastAsia="bg-BG"/>
              </w:rPr>
              <w:t> 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Изграждане на училище без агрессия, осигуряващо подкрепяща среда, индивидуално консултиране по възрастови проблеми.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Директор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специалисти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УП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Обществен съвет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Инициирани дейности, с цел превенция на агресията и насилието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Провеждане на семинари за повишаване на комуникативните умения и подобряване на груповия климат сред учениците.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Провеждане на дискусии с учениците по предложени от тях теми, засягащи актуални проблеми.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2.3.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Изграждане на умения за справяне с различните форми на насилие.          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lastRenderedPageBreak/>
              <w:t>2.4.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Провеждане на Ден на розовата фланелка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Провеждане на семинари за повишаване на познанията на учениците по проблемите на наркоманиите, сектите, половото съзряване и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съветник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Проведени инициативи</w:t>
            </w:r>
          </w:p>
        </w:tc>
      </w:tr>
      <w:tr w:rsidR="00154599" w:rsidRPr="00A7761C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3.1.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val="ru-RU" w:eastAsia="bg-BG"/>
              </w:rPr>
              <w:t>Проучване на проблеми, свързани с рисково за здравето поведение, превенция на опити за злоупотреба с психоактивни вещества / тютюнопушене, а др.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Педагогически съветник</w:t>
            </w:r>
          </w:p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Класни р-ли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A7761C" w:rsidRDefault="00B0139D" w:rsidP="00B0139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</w:pPr>
            <w:r w:rsidRPr="00A7761C">
              <w:rPr>
                <w:rFonts w:ascii="Cambria" w:eastAsia="Times New Roman" w:hAnsi="Cambria" w:cs="Times New Roman"/>
                <w:sz w:val="26"/>
                <w:szCs w:val="26"/>
                <w:lang w:eastAsia="bg-BG"/>
              </w:rPr>
              <w:t>Анкетни карти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AD02A2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4</w:t>
            </w:r>
            <w:r w:rsidR="00B0139D"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Създаване и функциониране на различни форми на извънкласна и извънучилищна дейност.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ЕКК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Функциониращи форми на извънкласна и извънучилищна дейност</w:t>
            </w:r>
          </w:p>
        </w:tc>
      </w:tr>
      <w:tr w:rsidR="007805C1" w:rsidRPr="00B0139D" w:rsidTr="00B0139D">
        <w:tc>
          <w:tcPr>
            <w:tcW w:w="139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2: 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bg-BG"/>
              </w:rPr>
              <w:t>Инициативи по основнu направления</w:t>
            </w:r>
          </w:p>
          <w:p w:rsidR="007805C1" w:rsidRPr="00B0139D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bg-BG"/>
              </w:rPr>
              <w:t>на възпитателната дейност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bg-BG"/>
              </w:rPr>
              <w:t> .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Планиране и реализация на дейности за преодоляване на агресията в училище: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-на ниво паралелки;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-чрез формите на ученическото самоуправление;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-чрез изяви в училищните медии;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-чрез проекти и програми;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-чрез съдействие от компетентни органи;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-чрез партньорство с институции.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По плана за противодействие на тормоза и насилието в училище.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УП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ОС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Планирани и реализирани инициативи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Кариерно ориентиране и консултиране.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Класни ръководители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 xml:space="preserve">Превантивна, диагностична, рехабилитационна, корекционна и </w:t>
            </w: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lastRenderedPageBreak/>
              <w:t>ресоциализираща работа с деца и ученици.            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10.2020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Класни ръководители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Медицинско лице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Педагогическа и психологическа подкрепа: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 обща;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 допълнителна подкрепа.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Координатор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Извършена подкрепа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5.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Създаване на подкрепяща среда за деца и ученици, склонни към насилие и агрессия.  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Не изисква средства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Създадена подкрепяща среда с механизъм за действие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6.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Ранно откриване на ученици с асоциално поведение и предприемане на съответните мерки за работа с тях и семействата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B0139D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 нач.на годината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Брой проведени анкети, брой срещи и разговори с доказан ефект.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7.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Реализиране на дейности за формиране на знания и умения за здравословен начин на живот: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-здравни беседи;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-дискусии с представители на здравни организации;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-обучения;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-състезания.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A7761C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Кла.</w:t>
            </w:r>
            <w:r w:rsid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ръководители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Външни лектори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Медицинско лице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8.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Реализиране на дейности за екологичното възпитание на учениците - състезания на открито;посещения в близки местности;изграждане на еко-база.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02.2021 г.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B0139D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8.1.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Първа пролет- 22.ІІІ., 4.6.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Март 2021 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B0139D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8.2.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Световен ден на водата;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Март 2021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B0139D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7805C1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8.3.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Световен ден на Земята – 22.ІV;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Април 2021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9.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Реализиране на дейности за възпитание в национални и общочовешки ценности.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-Патриотичен календар.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-Ученически инициативи за изразяване почит към националните герои и вековната ни история – разписани инициативи за всеки празник.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-Творби на учениците и възможности за публикуването им.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154599" w:rsidRPr="00B0139D" w:rsidTr="00AD02A2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10.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Ритуализация на училищния живот.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-Патронен празник.</w:t>
            </w:r>
          </w:p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-Символи и ритуали.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D42FCA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39D" w:rsidRPr="00B0139D" w:rsidRDefault="00B0139D" w:rsidP="00B0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Реализирани дейности</w:t>
            </w:r>
          </w:p>
        </w:tc>
      </w:tr>
      <w:tr w:rsidR="0083167E" w:rsidRPr="00B0139D" w:rsidTr="00AD02A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</w:tr>
    </w:tbl>
    <w:p w:rsidR="007805C1" w:rsidRPr="007805C1" w:rsidRDefault="007805C1" w:rsidP="0078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bg-BG"/>
        </w:rPr>
      </w:pPr>
    </w:p>
    <w:p w:rsidR="007805C1" w:rsidRPr="007805C1" w:rsidRDefault="007805C1" w:rsidP="007805C1">
      <w:pPr>
        <w:shd w:val="clear" w:color="auto" w:fill="FFFFFF"/>
        <w:spacing w:line="315" w:lineRule="atLeast"/>
        <w:ind w:right="-57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bg-BG"/>
        </w:rPr>
      </w:pPr>
      <w:r w:rsidRPr="007805C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  <w:lang w:eastAsia="bg-BG"/>
        </w:rPr>
        <w:t>Оперативна цел 5:</w:t>
      </w:r>
      <w:r w:rsidRPr="007805C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bg-BG"/>
        </w:rPr>
        <w:t> Партньорство и сътрудничество, разработване и утвърждаване на система от специални мерки за училищно партньорство, създаваща социална ангажираност и отговорности на педагогическите специалисти при работа с родители, ученици и общественост.</w:t>
      </w:r>
    </w:p>
    <w:tbl>
      <w:tblPr>
        <w:tblW w:w="16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763"/>
        <w:gridCol w:w="1985"/>
        <w:gridCol w:w="2126"/>
        <w:gridCol w:w="1395"/>
        <w:gridCol w:w="65"/>
        <w:gridCol w:w="2037"/>
        <w:gridCol w:w="2889"/>
      </w:tblGrid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№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Дейности/мероприятия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Срок за изпълнение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Отговорни лица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Контрол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Индикатори за изпълнение</w:t>
            </w:r>
          </w:p>
        </w:tc>
      </w:tr>
      <w:tr w:rsidR="007805C1" w:rsidRPr="00B0139D" w:rsidTr="00AD02A2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1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bg-BG"/>
              </w:rPr>
              <w:t>: 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bg-BG"/>
              </w:rPr>
              <w:t>Партньорство между преките участници</w:t>
            </w:r>
          </w:p>
          <w:p w:rsidR="007805C1" w:rsidRPr="00B0139D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bg-BG"/>
              </w:rPr>
              <w:t> в училищното образование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bg-BG"/>
              </w:rPr>
              <w:t> .</w:t>
            </w:r>
          </w:p>
          <w:p w:rsidR="007805C1" w:rsidRPr="00B0139D" w:rsidRDefault="007805C1" w:rsidP="0078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 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Планиране на дейности и форми на сътрудничество за осигуряване на  позитивен организационен климат, ефективна комуникация и отношения на загриженост между всички участници в процеса на образование.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УП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Образователен медиатор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Проведени срещи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2.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Формиране на нагласи у родителите за партньорство и сътрудничество чрез  организиране на родителски срещи и тематични инициативи на паралелките.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УП</w:t>
            </w:r>
          </w:p>
          <w:p w:rsidR="00AD02A2" w:rsidRPr="00B0139D" w:rsidRDefault="00A7761C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Обр.</w:t>
            </w:r>
            <w:r w:rsidR="00AD02A2"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 xml:space="preserve"> медиатор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Проведени срещи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3.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Реализиране на дейности за удовлетворяване на родителите по конкретни въпроси - проучвания чрез анкети, интервюта и др.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4.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Планиране и реализация на дейности за активно участие на родителите в организираните от училището извънкласни дейности: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 Коледен спектакъл;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-празници на словото;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-училищни изложби и базари;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-форуми за превенция на агресията и насилието;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-дарения за деца в тежко социално положение;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- Училищен празничен календар.</w:t>
            </w:r>
          </w:p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Дейности на Родителския клуб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УП Обществен съвет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7805C1" w:rsidRPr="00B0139D" w:rsidTr="00AD02A2">
        <w:trPr>
          <w:gridAfter w:val="1"/>
          <w:wAfter w:w="2889" w:type="dxa"/>
        </w:trPr>
        <w:tc>
          <w:tcPr>
            <w:tcW w:w="139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5C1" w:rsidRPr="00B0139D" w:rsidRDefault="007805C1" w:rsidP="007805C1">
            <w:pPr>
              <w:shd w:val="clear" w:color="auto" w:fill="FFFFFF"/>
              <w:spacing w:after="0" w:line="315" w:lineRule="atLeast"/>
              <w:ind w:right="-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u w:val="single"/>
                <w:lang w:eastAsia="bg-BG"/>
              </w:rPr>
              <w:t>Приоритетно направление 2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color w:val="2D2D2D"/>
                <w:sz w:val="26"/>
                <w:szCs w:val="26"/>
                <w:lang w:eastAsia="bg-BG"/>
              </w:rPr>
              <w:t>: 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bg-BG"/>
              </w:rPr>
              <w:t>Външно партньорство</w:t>
            </w:r>
            <w:r w:rsidRPr="00B013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bg-BG"/>
              </w:rPr>
              <w:t>.</w:t>
            </w:r>
          </w:p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Взаимодействие с институциите в системата на образованието, териториалните органи на изпълнителната власт, органите за местното управление</w:t>
            </w: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en-GB" w:eastAsia="bg-BG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работни срещи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1.1</w:t>
            </w: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>Провеждане на периодични акции с междуинституционалния механизъм за обхват и задържане на учериците, подлежащи на задължително обучение.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работни срещи</w:t>
            </w:r>
          </w:p>
        </w:tc>
      </w:tr>
      <w:tr w:rsidR="00AD02A2" w:rsidRPr="00B0139D" w:rsidTr="00AD02A2">
        <w:trPr>
          <w:gridAfter w:val="1"/>
          <w:wAfter w:w="2889" w:type="dxa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1.2</w:t>
            </w: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t xml:space="preserve">Координиране дейността на Обществения съвет, Ученическия парламент с институциите, с цел </w:t>
            </w: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bg-BG"/>
              </w:rPr>
              <w:lastRenderedPageBreak/>
              <w:t>задържане и успешно обучение на деца в риск от отпадане и застрашени от изоставане ученици.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D42FCA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lastRenderedPageBreak/>
              <w:t>През уч.година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Директор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ПС</w:t>
            </w:r>
          </w:p>
          <w:p w:rsidR="00AD02A2" w:rsidRPr="00B0139D" w:rsidRDefault="00AD02A2" w:rsidP="00AD0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УК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Делегиран бюджет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2A2" w:rsidRPr="00B0139D" w:rsidRDefault="00AD02A2" w:rsidP="00AD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Реализирани дейности</w:t>
            </w:r>
          </w:p>
        </w:tc>
      </w:tr>
      <w:tr w:rsidR="00AD02A2" w:rsidRPr="00B0139D" w:rsidTr="00AD02A2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05C1" w:rsidRPr="00B0139D" w:rsidRDefault="007805C1" w:rsidP="0078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</w:pPr>
            <w:r w:rsidRPr="00B0139D">
              <w:rPr>
                <w:rFonts w:ascii="Times New Roman" w:eastAsia="Times New Roman" w:hAnsi="Times New Roman" w:cs="Times New Roman"/>
                <w:sz w:val="26"/>
                <w:szCs w:val="26"/>
                <w:lang w:eastAsia="bg-BG"/>
              </w:rPr>
              <w:t> </w:t>
            </w:r>
          </w:p>
        </w:tc>
      </w:tr>
    </w:tbl>
    <w:p w:rsidR="004A2939" w:rsidRPr="00ED5A06" w:rsidRDefault="007805C1" w:rsidP="00ED5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bg-BG"/>
        </w:rPr>
      </w:pPr>
      <w:r w:rsidRPr="007805C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val="en-US" w:eastAsia="bg-BG"/>
        </w:rPr>
        <w:t> </w:t>
      </w:r>
    </w:p>
    <w:sectPr w:rsidR="004A2939" w:rsidRPr="00ED5A06" w:rsidSect="00532C8F">
      <w:pgSz w:w="16838" w:h="11906" w:orient="landscape"/>
      <w:pgMar w:top="1841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E86"/>
    <w:multiLevelType w:val="multilevel"/>
    <w:tmpl w:val="560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11BF2"/>
    <w:multiLevelType w:val="multilevel"/>
    <w:tmpl w:val="8B4EC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34704C"/>
    <w:multiLevelType w:val="multilevel"/>
    <w:tmpl w:val="BD2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56D91"/>
    <w:multiLevelType w:val="multilevel"/>
    <w:tmpl w:val="4FE2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91ACD"/>
    <w:multiLevelType w:val="multilevel"/>
    <w:tmpl w:val="D17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91F05"/>
    <w:multiLevelType w:val="hybridMultilevel"/>
    <w:tmpl w:val="86281440"/>
    <w:lvl w:ilvl="0" w:tplc="5790BAB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1B84048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89029628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9C486A6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7BA635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3CCF36E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611E5384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0087CF0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7B7A73D4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" w15:restartNumberingAfterBreak="0">
    <w:nsid w:val="474E430A"/>
    <w:multiLevelType w:val="multilevel"/>
    <w:tmpl w:val="33DA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569C8"/>
    <w:multiLevelType w:val="multilevel"/>
    <w:tmpl w:val="E30E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6766A"/>
    <w:multiLevelType w:val="multilevel"/>
    <w:tmpl w:val="2AD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80"/>
    <w:rsid w:val="0005678B"/>
    <w:rsid w:val="00154599"/>
    <w:rsid w:val="001B51A8"/>
    <w:rsid w:val="001D3B66"/>
    <w:rsid w:val="003916D0"/>
    <w:rsid w:val="004A2939"/>
    <w:rsid w:val="00532C8F"/>
    <w:rsid w:val="005B3626"/>
    <w:rsid w:val="007805C1"/>
    <w:rsid w:val="007E527E"/>
    <w:rsid w:val="0083167E"/>
    <w:rsid w:val="00A7761C"/>
    <w:rsid w:val="00AD02A2"/>
    <w:rsid w:val="00B0139D"/>
    <w:rsid w:val="00CB180A"/>
    <w:rsid w:val="00D42FCA"/>
    <w:rsid w:val="00E66D66"/>
    <w:rsid w:val="00ED5A06"/>
    <w:rsid w:val="00F83F3B"/>
    <w:rsid w:val="00FC4314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B8C9-2A7F-4479-900B-DFA73CEE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0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05C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7805C1"/>
  </w:style>
  <w:style w:type="paragraph" w:styleId="ListParagraph">
    <w:name w:val="List Paragraph"/>
    <w:basedOn w:val="Normal"/>
    <w:uiPriority w:val="34"/>
    <w:qFormat/>
    <w:rsid w:val="0078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temhits">
    <w:name w:val="itemhits"/>
    <w:basedOn w:val="DefaultParagraphFont"/>
    <w:rsid w:val="007805C1"/>
  </w:style>
  <w:style w:type="character" w:styleId="Hyperlink">
    <w:name w:val="Hyperlink"/>
    <w:basedOn w:val="DefaultParagraphFont"/>
    <w:uiPriority w:val="99"/>
    <w:semiHidden/>
    <w:unhideWhenUsed/>
    <w:rsid w:val="007805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5C1"/>
    <w:rPr>
      <w:color w:val="800080"/>
      <w:u w:val="single"/>
    </w:rPr>
  </w:style>
  <w:style w:type="character" w:customStyle="1" w:styleId="itemnavigationtitle">
    <w:name w:val="itemnavigationtitle"/>
    <w:basedOn w:val="DefaultParagraphFont"/>
    <w:rsid w:val="007805C1"/>
  </w:style>
  <w:style w:type="character" w:customStyle="1" w:styleId="commentlink">
    <w:name w:val="commentlink"/>
    <w:basedOn w:val="DefaultParagraphFont"/>
    <w:rsid w:val="007805C1"/>
  </w:style>
  <w:style w:type="character" w:customStyle="1" w:styleId="commentdate">
    <w:name w:val="commentdate"/>
    <w:basedOn w:val="DefaultParagraphFont"/>
    <w:rsid w:val="007805C1"/>
  </w:style>
  <w:style w:type="character" w:customStyle="1" w:styleId="commentauthorname">
    <w:name w:val="commentauthorname"/>
    <w:basedOn w:val="DefaultParagraphFont"/>
    <w:rsid w:val="007805C1"/>
  </w:style>
  <w:style w:type="paragraph" w:styleId="NormalWeb">
    <w:name w:val="Normal (Web)"/>
    <w:basedOn w:val="Normal"/>
    <w:uiPriority w:val="99"/>
    <w:semiHidden/>
    <w:unhideWhenUsed/>
    <w:rsid w:val="0078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genav">
    <w:name w:val="pagenav"/>
    <w:basedOn w:val="DefaultParagraphFont"/>
    <w:rsid w:val="007805C1"/>
  </w:style>
  <w:style w:type="paragraph" w:customStyle="1" w:styleId="itemcommentsformnotes">
    <w:name w:val="itemcommentsformnotes"/>
    <w:basedOn w:val="Normal"/>
    <w:rsid w:val="0078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0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05C1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0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05C1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moduleitemvideocaption">
    <w:name w:val="moduleitemvideocaption"/>
    <w:basedOn w:val="DefaultParagraphFont"/>
    <w:rsid w:val="007805C1"/>
  </w:style>
  <w:style w:type="character" w:customStyle="1" w:styleId="moduleitemvideocredits">
    <w:name w:val="moduleitemvideocredits"/>
    <w:basedOn w:val="DefaultParagraphFont"/>
    <w:rsid w:val="007805C1"/>
  </w:style>
  <w:style w:type="character" w:customStyle="1" w:styleId="moduleitemdatecreated">
    <w:name w:val="moduleitemdatecreated"/>
    <w:basedOn w:val="DefaultParagraphFont"/>
    <w:rsid w:val="007805C1"/>
  </w:style>
  <w:style w:type="paragraph" w:customStyle="1" w:styleId="Default">
    <w:name w:val="Default"/>
    <w:rsid w:val="00780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7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12</cp:revision>
  <cp:lastPrinted>2021-04-23T05:36:00Z</cp:lastPrinted>
  <dcterms:created xsi:type="dcterms:W3CDTF">2021-04-20T09:49:00Z</dcterms:created>
  <dcterms:modified xsi:type="dcterms:W3CDTF">2021-10-01T12:04:00Z</dcterms:modified>
</cp:coreProperties>
</file>